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2D852" w14:textId="77777777" w:rsidR="00CD2F30" w:rsidRPr="00CD2F30" w:rsidRDefault="00CD2F30" w:rsidP="00CD2F30">
      <w:pPr>
        <w:rPr>
          <w:rFonts w:ascii="Verdana" w:hAnsi="Verdana"/>
          <w:sz w:val="22"/>
          <w:szCs w:val="22"/>
        </w:rPr>
      </w:pPr>
    </w:p>
    <w:p w14:paraId="79B34646" w14:textId="77777777" w:rsidR="00CD2F30" w:rsidRPr="00CD2F30" w:rsidRDefault="00B2016D" w:rsidP="00CD2F30">
      <w:pPr>
        <w:rPr>
          <w:rFonts w:ascii="Verdana" w:hAnsi="Verdana"/>
          <w:sz w:val="22"/>
          <w:szCs w:val="22"/>
        </w:rPr>
      </w:pPr>
      <w:r>
        <w:rPr>
          <w:rFonts w:ascii="Verdana" w:hAnsi="Verdana"/>
          <w:sz w:val="22"/>
          <w:szCs w:val="22"/>
        </w:rPr>
        <w:t>February 28, 2019</w:t>
      </w:r>
    </w:p>
    <w:p w14:paraId="6D9BE4A9" w14:textId="77777777" w:rsidR="00CD2F30" w:rsidRPr="00CD2F30" w:rsidRDefault="00CD2F30" w:rsidP="00CD2F30">
      <w:pPr>
        <w:rPr>
          <w:rFonts w:ascii="Verdana" w:hAnsi="Verdana"/>
          <w:sz w:val="22"/>
          <w:szCs w:val="22"/>
        </w:rPr>
      </w:pPr>
    </w:p>
    <w:p w14:paraId="10A023B4" w14:textId="77777777" w:rsidR="00CD2F30" w:rsidRPr="00CD2F30" w:rsidRDefault="00CD2F30" w:rsidP="00CD2F30">
      <w:pPr>
        <w:rPr>
          <w:rFonts w:ascii="Verdana" w:hAnsi="Verdana"/>
          <w:sz w:val="22"/>
          <w:szCs w:val="22"/>
        </w:rPr>
      </w:pPr>
    </w:p>
    <w:p w14:paraId="6A86710D" w14:textId="77777777" w:rsidR="00CD2F30" w:rsidRPr="00CD2F30" w:rsidRDefault="00CD2F30" w:rsidP="00CD2F30">
      <w:pPr>
        <w:rPr>
          <w:rFonts w:ascii="Verdana" w:hAnsi="Verdana"/>
          <w:sz w:val="22"/>
          <w:szCs w:val="22"/>
        </w:rPr>
      </w:pPr>
      <w:r w:rsidRPr="00CD2F30">
        <w:rPr>
          <w:rFonts w:ascii="Verdana" w:hAnsi="Verdana"/>
          <w:sz w:val="22"/>
          <w:szCs w:val="22"/>
        </w:rPr>
        <w:t>Cordelia Clarke Julien</w:t>
      </w:r>
    </w:p>
    <w:p w14:paraId="42ABF68F" w14:textId="77777777" w:rsidR="00CD2F30" w:rsidRPr="00CD2F30" w:rsidRDefault="00CD2F30" w:rsidP="00CD2F30">
      <w:pPr>
        <w:rPr>
          <w:rFonts w:ascii="Verdana" w:hAnsi="Verdana"/>
          <w:sz w:val="22"/>
          <w:szCs w:val="22"/>
        </w:rPr>
      </w:pPr>
      <w:r w:rsidRPr="00CD2F30">
        <w:rPr>
          <w:rFonts w:ascii="Verdana" w:hAnsi="Verdana"/>
          <w:sz w:val="22"/>
          <w:szCs w:val="22"/>
        </w:rPr>
        <w:t>Assistant Deputy Minister</w:t>
      </w:r>
    </w:p>
    <w:p w14:paraId="5A1EA8EF" w14:textId="77777777" w:rsidR="00DF7A4F" w:rsidRDefault="00CD2F30" w:rsidP="00CD2F30">
      <w:pPr>
        <w:rPr>
          <w:rFonts w:ascii="Verdana" w:hAnsi="Verdana"/>
          <w:sz w:val="22"/>
          <w:szCs w:val="22"/>
        </w:rPr>
      </w:pPr>
      <w:r w:rsidRPr="00CD2F30">
        <w:rPr>
          <w:rFonts w:ascii="Verdana" w:hAnsi="Verdana"/>
          <w:sz w:val="22"/>
          <w:szCs w:val="22"/>
        </w:rPr>
        <w:t xml:space="preserve">Ontario Growth Secretariat (OGS)  </w:t>
      </w:r>
    </w:p>
    <w:p w14:paraId="6543C29F" w14:textId="77777777" w:rsidR="00CD2F30" w:rsidRPr="00CD2F30" w:rsidRDefault="00CD2F30" w:rsidP="00CD2F30">
      <w:pPr>
        <w:rPr>
          <w:rFonts w:ascii="Verdana" w:hAnsi="Verdana"/>
          <w:sz w:val="22"/>
          <w:szCs w:val="22"/>
        </w:rPr>
      </w:pPr>
      <w:r w:rsidRPr="00CD2F30">
        <w:rPr>
          <w:rFonts w:ascii="Verdana" w:hAnsi="Verdana"/>
          <w:sz w:val="22"/>
          <w:szCs w:val="22"/>
        </w:rPr>
        <w:t>Ministry of Municipal Affairs and Housing</w:t>
      </w:r>
    </w:p>
    <w:p w14:paraId="738E39E1" w14:textId="77777777" w:rsidR="00CD2F30" w:rsidRPr="00CD2F30" w:rsidRDefault="00CD2F30" w:rsidP="00CD2F30">
      <w:pPr>
        <w:rPr>
          <w:rFonts w:ascii="Verdana" w:hAnsi="Verdana"/>
          <w:sz w:val="22"/>
          <w:szCs w:val="22"/>
        </w:rPr>
      </w:pPr>
      <w:r w:rsidRPr="00CD2F30">
        <w:rPr>
          <w:rFonts w:ascii="Verdana" w:hAnsi="Verdana"/>
          <w:sz w:val="22"/>
          <w:szCs w:val="22"/>
        </w:rPr>
        <w:t>777 Bay Street, Suite 2304, 23</w:t>
      </w:r>
      <w:r w:rsidRPr="00CD2F30">
        <w:rPr>
          <w:rFonts w:ascii="Verdana" w:hAnsi="Verdana"/>
          <w:sz w:val="22"/>
          <w:szCs w:val="22"/>
          <w:vertAlign w:val="superscript"/>
        </w:rPr>
        <w:t>rd</w:t>
      </w:r>
      <w:r w:rsidRPr="00CD2F30">
        <w:rPr>
          <w:rFonts w:ascii="Verdana" w:hAnsi="Verdana"/>
          <w:sz w:val="22"/>
          <w:szCs w:val="22"/>
        </w:rPr>
        <w:t xml:space="preserve"> Floor</w:t>
      </w:r>
    </w:p>
    <w:p w14:paraId="324F7110" w14:textId="77777777" w:rsidR="00CD2F30" w:rsidRPr="00CD2F30" w:rsidRDefault="00CD2F30" w:rsidP="00CD2F30">
      <w:pPr>
        <w:rPr>
          <w:rFonts w:ascii="Verdana" w:hAnsi="Verdana"/>
          <w:sz w:val="22"/>
          <w:szCs w:val="22"/>
        </w:rPr>
      </w:pPr>
      <w:r w:rsidRPr="00CD2F30">
        <w:rPr>
          <w:rFonts w:ascii="Verdana" w:hAnsi="Verdana"/>
          <w:sz w:val="22"/>
          <w:szCs w:val="22"/>
        </w:rPr>
        <w:t xml:space="preserve">Toronto, ON </w:t>
      </w:r>
      <w:r>
        <w:rPr>
          <w:rFonts w:ascii="Verdana" w:hAnsi="Verdana"/>
          <w:sz w:val="22"/>
          <w:szCs w:val="22"/>
        </w:rPr>
        <w:t xml:space="preserve">  </w:t>
      </w:r>
      <w:r w:rsidRPr="00CD2F30">
        <w:rPr>
          <w:rFonts w:ascii="Verdana" w:hAnsi="Verdana"/>
          <w:sz w:val="22"/>
          <w:szCs w:val="22"/>
        </w:rPr>
        <w:t>M5G 2E5</w:t>
      </w:r>
    </w:p>
    <w:p w14:paraId="2CB14443" w14:textId="77777777" w:rsidR="00CD2F30" w:rsidRDefault="00180005" w:rsidP="00CD2F30">
      <w:pPr>
        <w:rPr>
          <w:rFonts w:ascii="Verdana" w:hAnsi="Verdana"/>
          <w:sz w:val="22"/>
          <w:szCs w:val="22"/>
        </w:rPr>
      </w:pPr>
      <w:hyperlink r:id="rId8" w:history="1">
        <w:r w:rsidR="00DF7A4F" w:rsidRPr="00F16564">
          <w:rPr>
            <w:rStyle w:val="Hyperlink"/>
            <w:rFonts w:ascii="Verdana" w:hAnsi="Verdana"/>
            <w:sz w:val="22"/>
            <w:szCs w:val="22"/>
          </w:rPr>
          <w:t>growthplanning@ontario.ca</w:t>
        </w:r>
      </w:hyperlink>
    </w:p>
    <w:p w14:paraId="279482D3" w14:textId="77777777" w:rsidR="00DF7A4F" w:rsidRDefault="00DF7A4F" w:rsidP="00CD2F30">
      <w:pPr>
        <w:rPr>
          <w:rFonts w:ascii="Verdana" w:hAnsi="Verdana"/>
          <w:sz w:val="22"/>
          <w:szCs w:val="22"/>
        </w:rPr>
      </w:pPr>
    </w:p>
    <w:p w14:paraId="076BB33F" w14:textId="77777777" w:rsidR="00DF7A4F" w:rsidRDefault="00DF7A4F" w:rsidP="00CD2F30">
      <w:pPr>
        <w:rPr>
          <w:rFonts w:ascii="Verdana" w:hAnsi="Verdana"/>
          <w:sz w:val="22"/>
          <w:szCs w:val="22"/>
        </w:rPr>
      </w:pPr>
      <w:r>
        <w:rPr>
          <w:rFonts w:ascii="Verdana" w:hAnsi="Verdana"/>
          <w:sz w:val="22"/>
          <w:szCs w:val="22"/>
        </w:rPr>
        <w:t>Re: Proposed Amendment to the Growth Plan, ERO 013-4504</w:t>
      </w:r>
    </w:p>
    <w:p w14:paraId="49C81C27" w14:textId="77777777" w:rsidR="00DF7A4F" w:rsidRPr="00CD2F30" w:rsidRDefault="00DF7A4F" w:rsidP="00CD2F30">
      <w:pPr>
        <w:rPr>
          <w:rFonts w:ascii="Verdana" w:hAnsi="Verdana"/>
          <w:sz w:val="22"/>
          <w:szCs w:val="22"/>
        </w:rPr>
      </w:pPr>
    </w:p>
    <w:p w14:paraId="1CECDAB6" w14:textId="77777777" w:rsidR="00CD2F30" w:rsidRPr="00CD2F30" w:rsidRDefault="00CD2F30" w:rsidP="00CD2F30">
      <w:pPr>
        <w:rPr>
          <w:rFonts w:ascii="Verdana" w:hAnsi="Verdana"/>
          <w:sz w:val="22"/>
          <w:szCs w:val="22"/>
        </w:rPr>
      </w:pPr>
      <w:r w:rsidRPr="00CD2F30">
        <w:rPr>
          <w:rFonts w:ascii="Verdana" w:hAnsi="Verdana"/>
          <w:sz w:val="22"/>
          <w:szCs w:val="22"/>
        </w:rPr>
        <w:t>Dear Ms. Clarke Julien,</w:t>
      </w:r>
    </w:p>
    <w:p w14:paraId="458F4A17" w14:textId="77777777" w:rsidR="00CD2F30" w:rsidRPr="00CD2F30" w:rsidRDefault="00CD2F30" w:rsidP="00CD2F30">
      <w:pPr>
        <w:rPr>
          <w:rFonts w:ascii="Verdana" w:hAnsi="Verdana"/>
          <w:sz w:val="22"/>
          <w:szCs w:val="22"/>
        </w:rPr>
      </w:pPr>
    </w:p>
    <w:p w14:paraId="251A2342" w14:textId="0755DC0E" w:rsidR="000F68E0" w:rsidRDefault="00F64FA3" w:rsidP="000F68E0">
      <w:pPr>
        <w:rPr>
          <w:rFonts w:ascii="Verdana" w:hAnsi="Verdana"/>
          <w:sz w:val="22"/>
          <w:szCs w:val="22"/>
        </w:rPr>
      </w:pPr>
      <w:r>
        <w:rPr>
          <w:rFonts w:ascii="Verdana" w:hAnsi="Verdana"/>
          <w:sz w:val="22"/>
          <w:szCs w:val="22"/>
        </w:rPr>
        <w:t>The Ontario Greenbelt Alliance</w:t>
      </w:r>
      <w:r w:rsidR="005C7604">
        <w:rPr>
          <w:rFonts w:ascii="Verdana" w:hAnsi="Verdana"/>
          <w:sz w:val="22"/>
          <w:szCs w:val="22"/>
        </w:rPr>
        <w:t xml:space="preserve"> (OGA)</w:t>
      </w:r>
      <w:r>
        <w:rPr>
          <w:rFonts w:ascii="Verdana" w:hAnsi="Verdana"/>
          <w:sz w:val="22"/>
          <w:szCs w:val="22"/>
        </w:rPr>
        <w:t xml:space="preserve"> supports the principl</w:t>
      </w:r>
      <w:r w:rsidR="00DE56D0">
        <w:rPr>
          <w:rFonts w:ascii="Verdana" w:hAnsi="Verdana"/>
          <w:sz w:val="22"/>
          <w:szCs w:val="22"/>
        </w:rPr>
        <w:t>e</w:t>
      </w:r>
      <w:r>
        <w:rPr>
          <w:rFonts w:ascii="Verdana" w:hAnsi="Verdana"/>
          <w:sz w:val="22"/>
          <w:szCs w:val="22"/>
        </w:rPr>
        <w:t xml:space="preserve">s of the Growth Plan to </w:t>
      </w:r>
      <w:r w:rsidR="00CD2F30" w:rsidRPr="00CD2F30">
        <w:rPr>
          <w:rFonts w:ascii="Verdana" w:hAnsi="Verdana"/>
          <w:sz w:val="22"/>
          <w:szCs w:val="22"/>
        </w:rPr>
        <w:t>curb expensive low</w:t>
      </w:r>
      <w:r w:rsidR="00493865">
        <w:rPr>
          <w:rFonts w:ascii="Verdana" w:hAnsi="Verdana"/>
          <w:sz w:val="22"/>
          <w:szCs w:val="22"/>
        </w:rPr>
        <w:t>-</w:t>
      </w:r>
      <w:r w:rsidR="00CD2F30" w:rsidRPr="00CD2F30">
        <w:rPr>
          <w:rFonts w:ascii="Verdana" w:hAnsi="Verdana"/>
          <w:sz w:val="22"/>
          <w:szCs w:val="22"/>
        </w:rPr>
        <w:t>density development that driv</w:t>
      </w:r>
      <w:r w:rsidR="00BD2596">
        <w:rPr>
          <w:rFonts w:ascii="Verdana" w:hAnsi="Verdana"/>
          <w:sz w:val="22"/>
          <w:szCs w:val="22"/>
        </w:rPr>
        <w:t>es</w:t>
      </w:r>
      <w:r w:rsidR="00CD2F30" w:rsidRPr="00CD2F30">
        <w:rPr>
          <w:rFonts w:ascii="Verdana" w:hAnsi="Verdana"/>
          <w:sz w:val="22"/>
          <w:szCs w:val="22"/>
        </w:rPr>
        <w:t xml:space="preserve"> up municipal taxes and debt, increas</w:t>
      </w:r>
      <w:r w:rsidR="00BD2596">
        <w:rPr>
          <w:rFonts w:ascii="Verdana" w:hAnsi="Verdana"/>
          <w:sz w:val="22"/>
          <w:szCs w:val="22"/>
        </w:rPr>
        <w:t>es</w:t>
      </w:r>
      <w:r w:rsidR="00CD2F30" w:rsidRPr="00CD2F30">
        <w:rPr>
          <w:rFonts w:ascii="Verdana" w:hAnsi="Verdana"/>
          <w:sz w:val="22"/>
          <w:szCs w:val="22"/>
        </w:rPr>
        <w:t xml:space="preserve"> gridlock,</w:t>
      </w:r>
      <w:r w:rsidR="002E472A">
        <w:rPr>
          <w:rFonts w:ascii="Verdana" w:hAnsi="Verdana"/>
          <w:sz w:val="22"/>
          <w:szCs w:val="22"/>
        </w:rPr>
        <w:t xml:space="preserve"> degrad</w:t>
      </w:r>
      <w:r w:rsidR="00BD2596">
        <w:rPr>
          <w:rFonts w:ascii="Verdana" w:hAnsi="Verdana"/>
          <w:sz w:val="22"/>
          <w:szCs w:val="22"/>
        </w:rPr>
        <w:t>es</w:t>
      </w:r>
      <w:r w:rsidR="002E472A">
        <w:rPr>
          <w:rFonts w:ascii="Verdana" w:hAnsi="Verdana"/>
          <w:sz w:val="22"/>
          <w:szCs w:val="22"/>
        </w:rPr>
        <w:t xml:space="preserve"> our water,</w:t>
      </w:r>
      <w:r w:rsidR="00CD2F30" w:rsidRPr="00CD2F30">
        <w:rPr>
          <w:rFonts w:ascii="Verdana" w:hAnsi="Verdana"/>
          <w:sz w:val="22"/>
          <w:szCs w:val="22"/>
        </w:rPr>
        <w:t xml:space="preserve"> pav</w:t>
      </w:r>
      <w:r w:rsidR="00BD2596">
        <w:rPr>
          <w:rFonts w:ascii="Verdana" w:hAnsi="Verdana"/>
          <w:sz w:val="22"/>
          <w:szCs w:val="22"/>
        </w:rPr>
        <w:t>es</w:t>
      </w:r>
      <w:r w:rsidR="00CD2F30" w:rsidRPr="00CD2F30">
        <w:rPr>
          <w:rFonts w:ascii="Verdana" w:hAnsi="Verdana"/>
          <w:sz w:val="22"/>
          <w:szCs w:val="22"/>
        </w:rPr>
        <w:t xml:space="preserve"> over productive agricultural land </w:t>
      </w:r>
      <w:r w:rsidR="002E472A">
        <w:rPr>
          <w:rFonts w:ascii="Verdana" w:hAnsi="Verdana"/>
          <w:sz w:val="22"/>
          <w:szCs w:val="22"/>
        </w:rPr>
        <w:t xml:space="preserve">and </w:t>
      </w:r>
      <w:r w:rsidR="00CD2F30" w:rsidRPr="00CD2F30">
        <w:rPr>
          <w:rFonts w:ascii="Verdana" w:hAnsi="Verdana"/>
          <w:sz w:val="22"/>
          <w:szCs w:val="22"/>
        </w:rPr>
        <w:t>leav</w:t>
      </w:r>
      <w:r w:rsidR="00BD2596">
        <w:rPr>
          <w:rFonts w:ascii="Verdana" w:hAnsi="Verdana"/>
          <w:sz w:val="22"/>
          <w:szCs w:val="22"/>
        </w:rPr>
        <w:t>es</w:t>
      </w:r>
      <w:r w:rsidR="00CD2F30" w:rsidRPr="00CD2F30">
        <w:rPr>
          <w:rFonts w:ascii="Verdana" w:hAnsi="Verdana"/>
          <w:sz w:val="22"/>
          <w:szCs w:val="22"/>
        </w:rPr>
        <w:t xml:space="preserve"> us with a legacy of failing infrastructure</w:t>
      </w:r>
      <w:r w:rsidR="00503FD8">
        <w:rPr>
          <w:rFonts w:ascii="Verdana" w:hAnsi="Verdana"/>
          <w:sz w:val="22"/>
          <w:szCs w:val="22"/>
        </w:rPr>
        <w:t>, and transit starved cities</w:t>
      </w:r>
      <w:r w:rsidR="005C7604">
        <w:rPr>
          <w:rFonts w:ascii="Verdana" w:hAnsi="Verdana"/>
          <w:sz w:val="22"/>
          <w:szCs w:val="22"/>
        </w:rPr>
        <w:t xml:space="preserve"> </w:t>
      </w:r>
      <w:r w:rsidR="00503FD8">
        <w:rPr>
          <w:rFonts w:ascii="Verdana" w:hAnsi="Verdana"/>
          <w:sz w:val="22"/>
          <w:szCs w:val="22"/>
        </w:rPr>
        <w:t>across</w:t>
      </w:r>
      <w:r w:rsidR="005C7604">
        <w:rPr>
          <w:rFonts w:ascii="Verdana" w:hAnsi="Verdana"/>
          <w:sz w:val="22"/>
          <w:szCs w:val="22"/>
        </w:rPr>
        <w:t xml:space="preserve"> the Greater Golden Horseshoe</w:t>
      </w:r>
      <w:r w:rsidR="00493865">
        <w:rPr>
          <w:rFonts w:ascii="Verdana" w:hAnsi="Verdana"/>
          <w:sz w:val="22"/>
          <w:szCs w:val="22"/>
        </w:rPr>
        <w:t xml:space="preserve"> </w:t>
      </w:r>
      <w:r w:rsidR="005C7604">
        <w:rPr>
          <w:rFonts w:ascii="Verdana" w:hAnsi="Verdana"/>
          <w:sz w:val="22"/>
          <w:szCs w:val="22"/>
        </w:rPr>
        <w:t>(GGH)</w:t>
      </w:r>
      <w:r w:rsidR="00CD2F30" w:rsidRPr="00CD2F30">
        <w:rPr>
          <w:rFonts w:ascii="Verdana" w:hAnsi="Verdana"/>
          <w:sz w:val="22"/>
          <w:szCs w:val="22"/>
        </w:rPr>
        <w:t xml:space="preserve">. </w:t>
      </w:r>
      <w:r>
        <w:rPr>
          <w:rFonts w:ascii="Verdana" w:hAnsi="Verdana"/>
          <w:sz w:val="22"/>
          <w:szCs w:val="22"/>
        </w:rPr>
        <w:t xml:space="preserve">It is important that </w:t>
      </w:r>
      <w:r w:rsidR="002E472A">
        <w:rPr>
          <w:rFonts w:ascii="Verdana" w:hAnsi="Verdana"/>
          <w:sz w:val="22"/>
          <w:szCs w:val="22"/>
        </w:rPr>
        <w:t>any</w:t>
      </w:r>
      <w:r>
        <w:rPr>
          <w:rFonts w:ascii="Verdana" w:hAnsi="Verdana"/>
          <w:sz w:val="22"/>
          <w:szCs w:val="22"/>
        </w:rPr>
        <w:t xml:space="preserve"> changes </w:t>
      </w:r>
      <w:r w:rsidR="00BD2596">
        <w:rPr>
          <w:rFonts w:ascii="Verdana" w:hAnsi="Verdana"/>
          <w:sz w:val="22"/>
          <w:szCs w:val="22"/>
        </w:rPr>
        <w:t xml:space="preserve">to the Growth Plan </w:t>
      </w:r>
      <w:r>
        <w:rPr>
          <w:rFonts w:ascii="Verdana" w:hAnsi="Verdana"/>
          <w:sz w:val="22"/>
          <w:szCs w:val="22"/>
        </w:rPr>
        <w:t xml:space="preserve">support the </w:t>
      </w:r>
      <w:r w:rsidR="00BE5B86">
        <w:rPr>
          <w:rFonts w:ascii="Verdana" w:hAnsi="Verdana"/>
          <w:sz w:val="22"/>
          <w:szCs w:val="22"/>
        </w:rPr>
        <w:t xml:space="preserve">ongoing </w:t>
      </w:r>
      <w:r>
        <w:rPr>
          <w:rFonts w:ascii="Verdana" w:hAnsi="Verdana"/>
          <w:sz w:val="22"/>
          <w:szCs w:val="22"/>
        </w:rPr>
        <w:t xml:space="preserve">shift in the </w:t>
      </w:r>
      <w:r w:rsidR="00503FD8">
        <w:rPr>
          <w:rFonts w:ascii="Verdana" w:hAnsi="Verdana"/>
          <w:sz w:val="22"/>
          <w:szCs w:val="22"/>
        </w:rPr>
        <w:t xml:space="preserve">regional </w:t>
      </w:r>
      <w:r>
        <w:rPr>
          <w:rFonts w:ascii="Verdana" w:hAnsi="Verdana"/>
          <w:sz w:val="22"/>
          <w:szCs w:val="22"/>
        </w:rPr>
        <w:t xml:space="preserve">growth model </w:t>
      </w:r>
      <w:r w:rsidR="002E472A">
        <w:rPr>
          <w:rFonts w:ascii="Verdana" w:hAnsi="Verdana"/>
          <w:sz w:val="22"/>
          <w:szCs w:val="22"/>
        </w:rPr>
        <w:t>to</w:t>
      </w:r>
      <w:r w:rsidR="00BE5B86">
        <w:rPr>
          <w:rFonts w:ascii="Verdana" w:hAnsi="Verdana"/>
          <w:sz w:val="22"/>
          <w:szCs w:val="22"/>
        </w:rPr>
        <w:t>ward</w:t>
      </w:r>
      <w:r w:rsidR="002E472A">
        <w:rPr>
          <w:rFonts w:ascii="Verdana" w:hAnsi="Verdana"/>
          <w:sz w:val="22"/>
          <w:szCs w:val="22"/>
        </w:rPr>
        <w:t xml:space="preserve"> </w:t>
      </w:r>
      <w:r w:rsidR="00503FD8">
        <w:rPr>
          <w:rFonts w:ascii="Verdana" w:hAnsi="Verdana"/>
          <w:sz w:val="22"/>
          <w:szCs w:val="22"/>
        </w:rPr>
        <w:t>greater urban density and curbing of sprawl</w:t>
      </w:r>
      <w:r w:rsidR="00BE5B86">
        <w:rPr>
          <w:rFonts w:ascii="Verdana" w:hAnsi="Verdana"/>
          <w:sz w:val="22"/>
          <w:szCs w:val="22"/>
        </w:rPr>
        <w:t xml:space="preserve">. </w:t>
      </w:r>
    </w:p>
    <w:p w14:paraId="76C758B7" w14:textId="77777777" w:rsidR="002E472A" w:rsidRDefault="002E472A" w:rsidP="000F68E0">
      <w:pPr>
        <w:rPr>
          <w:rFonts w:ascii="Verdana" w:hAnsi="Verdana"/>
          <w:sz w:val="22"/>
          <w:szCs w:val="22"/>
        </w:rPr>
      </w:pPr>
    </w:p>
    <w:p w14:paraId="58A35818" w14:textId="30563863" w:rsidR="00996FDD" w:rsidRDefault="00D37590" w:rsidP="00B41AEE">
      <w:pPr>
        <w:rPr>
          <w:rFonts w:ascii="Verdana" w:hAnsi="Verdana"/>
        </w:rPr>
      </w:pPr>
      <w:r>
        <w:rPr>
          <w:rFonts w:ascii="Verdana" w:hAnsi="Verdana"/>
          <w:sz w:val="22"/>
          <w:szCs w:val="22"/>
        </w:rPr>
        <w:t xml:space="preserve">One of the </w:t>
      </w:r>
      <w:r w:rsidR="00503FD8">
        <w:rPr>
          <w:rFonts w:ascii="Verdana" w:hAnsi="Verdana"/>
          <w:sz w:val="22"/>
          <w:szCs w:val="22"/>
        </w:rPr>
        <w:t xml:space="preserve">key </w:t>
      </w:r>
      <w:r>
        <w:rPr>
          <w:rFonts w:ascii="Verdana" w:hAnsi="Verdana"/>
          <w:sz w:val="22"/>
          <w:szCs w:val="22"/>
        </w:rPr>
        <w:t>strengths of the Growth Plan</w:t>
      </w:r>
      <w:r w:rsidR="00B41AEE">
        <w:rPr>
          <w:rFonts w:ascii="Verdana" w:hAnsi="Verdana"/>
          <w:sz w:val="22"/>
          <w:szCs w:val="22"/>
        </w:rPr>
        <w:t xml:space="preserve"> </w:t>
      </w:r>
      <w:r>
        <w:rPr>
          <w:rFonts w:ascii="Verdana" w:hAnsi="Verdana"/>
          <w:sz w:val="22"/>
          <w:szCs w:val="22"/>
        </w:rPr>
        <w:t xml:space="preserve">is the requirement </w:t>
      </w:r>
      <w:r w:rsidR="00503FD8">
        <w:rPr>
          <w:rFonts w:ascii="Verdana" w:hAnsi="Verdana"/>
          <w:sz w:val="22"/>
          <w:szCs w:val="22"/>
        </w:rPr>
        <w:t xml:space="preserve">to use </w:t>
      </w:r>
      <w:r>
        <w:rPr>
          <w:rFonts w:ascii="Verdana" w:hAnsi="Verdana"/>
          <w:sz w:val="22"/>
          <w:szCs w:val="22"/>
        </w:rPr>
        <w:t>a Municipal Comprehensive Review</w:t>
      </w:r>
      <w:r w:rsidR="002E472A">
        <w:rPr>
          <w:rFonts w:ascii="Verdana" w:hAnsi="Verdana"/>
          <w:sz w:val="22"/>
          <w:szCs w:val="22"/>
        </w:rPr>
        <w:t xml:space="preserve"> (MCR) process</w:t>
      </w:r>
      <w:r>
        <w:rPr>
          <w:rFonts w:ascii="Verdana" w:hAnsi="Verdana"/>
          <w:sz w:val="22"/>
          <w:szCs w:val="22"/>
        </w:rPr>
        <w:t xml:space="preserve"> to </w:t>
      </w:r>
      <w:r w:rsidR="00B41AEE">
        <w:rPr>
          <w:rFonts w:ascii="Verdana" w:hAnsi="Verdana"/>
          <w:sz w:val="22"/>
          <w:szCs w:val="22"/>
        </w:rPr>
        <w:t xml:space="preserve">guide regional planning </w:t>
      </w:r>
      <w:r w:rsidR="00503FD8">
        <w:rPr>
          <w:rFonts w:ascii="Verdana" w:hAnsi="Verdana"/>
          <w:sz w:val="22"/>
          <w:szCs w:val="22"/>
        </w:rPr>
        <w:t>through</w:t>
      </w:r>
      <w:r w:rsidR="00B41AEE">
        <w:rPr>
          <w:rFonts w:ascii="Verdana" w:hAnsi="Verdana"/>
          <w:sz w:val="22"/>
          <w:szCs w:val="22"/>
        </w:rPr>
        <w:t xml:space="preserve"> an evidence-based framework </w:t>
      </w:r>
      <w:r>
        <w:rPr>
          <w:rFonts w:ascii="Verdana" w:hAnsi="Verdana"/>
          <w:sz w:val="22"/>
          <w:szCs w:val="22"/>
        </w:rPr>
        <w:t>t</w:t>
      </w:r>
      <w:r w:rsidR="00503FD8">
        <w:rPr>
          <w:rFonts w:ascii="Verdana" w:hAnsi="Verdana"/>
          <w:sz w:val="22"/>
          <w:szCs w:val="22"/>
        </w:rPr>
        <w:t>hat</w:t>
      </w:r>
      <w:r w:rsidR="00B41AEE">
        <w:rPr>
          <w:rFonts w:ascii="Verdana" w:hAnsi="Verdana"/>
          <w:sz w:val="22"/>
          <w:szCs w:val="22"/>
        </w:rPr>
        <w:t xml:space="preserve"> </w:t>
      </w:r>
      <w:r>
        <w:rPr>
          <w:rFonts w:ascii="Verdana" w:hAnsi="Verdana"/>
          <w:sz w:val="22"/>
          <w:szCs w:val="22"/>
        </w:rPr>
        <w:t>encourage</w:t>
      </w:r>
      <w:r w:rsidR="00503FD8">
        <w:rPr>
          <w:rFonts w:ascii="Verdana" w:hAnsi="Verdana"/>
          <w:sz w:val="22"/>
          <w:szCs w:val="22"/>
        </w:rPr>
        <w:t>s</w:t>
      </w:r>
      <w:r w:rsidR="002E472A">
        <w:rPr>
          <w:rFonts w:ascii="Verdana" w:hAnsi="Verdana"/>
          <w:sz w:val="22"/>
          <w:szCs w:val="22"/>
        </w:rPr>
        <w:t xml:space="preserve"> </w:t>
      </w:r>
      <w:r>
        <w:rPr>
          <w:rFonts w:ascii="Verdana" w:hAnsi="Verdana"/>
          <w:sz w:val="22"/>
          <w:szCs w:val="22"/>
        </w:rPr>
        <w:t xml:space="preserve">efficient use of land. </w:t>
      </w:r>
      <w:r w:rsidR="00503FD8">
        <w:rPr>
          <w:rFonts w:ascii="Verdana" w:hAnsi="Verdana"/>
          <w:sz w:val="22"/>
          <w:szCs w:val="22"/>
        </w:rPr>
        <w:t>This provincial and regional guidance is key f</w:t>
      </w:r>
      <w:r w:rsidR="0076292E">
        <w:rPr>
          <w:rFonts w:ascii="Verdana" w:hAnsi="Verdana"/>
          <w:sz w:val="22"/>
          <w:szCs w:val="22"/>
        </w:rPr>
        <w:t>or smaller municipalities with few resources</w:t>
      </w:r>
      <w:r w:rsidR="005C7604">
        <w:rPr>
          <w:rFonts w:ascii="Verdana" w:hAnsi="Verdana"/>
          <w:sz w:val="22"/>
          <w:szCs w:val="22"/>
        </w:rPr>
        <w:t xml:space="preserve"> to </w:t>
      </w:r>
      <w:r w:rsidR="00503FD8">
        <w:rPr>
          <w:rFonts w:ascii="Verdana" w:hAnsi="Verdana"/>
          <w:sz w:val="22"/>
          <w:szCs w:val="22"/>
        </w:rPr>
        <w:t xml:space="preserve">enable them to </w:t>
      </w:r>
      <w:r w:rsidR="002E472A">
        <w:rPr>
          <w:rFonts w:ascii="Verdana" w:hAnsi="Verdana"/>
          <w:sz w:val="22"/>
          <w:szCs w:val="22"/>
        </w:rPr>
        <w:t xml:space="preserve">move toward </w:t>
      </w:r>
      <w:r w:rsidR="0076292E" w:rsidRPr="0076292E">
        <w:rPr>
          <w:rFonts w:ascii="Verdana" w:hAnsi="Verdana"/>
          <w:sz w:val="22"/>
          <w:szCs w:val="22"/>
        </w:rPr>
        <w:t>a consistent</w:t>
      </w:r>
      <w:r w:rsidR="00FE0E96">
        <w:rPr>
          <w:rFonts w:ascii="Verdana" w:hAnsi="Verdana"/>
          <w:sz w:val="22"/>
          <w:szCs w:val="22"/>
        </w:rPr>
        <w:t>,</w:t>
      </w:r>
      <w:r w:rsidR="0076292E" w:rsidRPr="0076292E">
        <w:rPr>
          <w:rFonts w:ascii="Verdana" w:hAnsi="Verdana"/>
          <w:sz w:val="22"/>
          <w:szCs w:val="22"/>
        </w:rPr>
        <w:t xml:space="preserve"> </w:t>
      </w:r>
      <w:r w:rsidR="00FE0E96">
        <w:rPr>
          <w:rFonts w:ascii="Verdana" w:hAnsi="Verdana"/>
          <w:sz w:val="22"/>
          <w:szCs w:val="22"/>
        </w:rPr>
        <w:t xml:space="preserve">public </w:t>
      </w:r>
      <w:r w:rsidR="00DF7A4F">
        <w:rPr>
          <w:rFonts w:ascii="Verdana" w:hAnsi="Verdana"/>
          <w:sz w:val="22"/>
          <w:szCs w:val="22"/>
        </w:rPr>
        <w:t>interest-based</w:t>
      </w:r>
      <w:r w:rsidR="00FE0E96">
        <w:rPr>
          <w:rFonts w:ascii="Verdana" w:hAnsi="Verdana"/>
          <w:sz w:val="22"/>
          <w:szCs w:val="22"/>
        </w:rPr>
        <w:t xml:space="preserve"> </w:t>
      </w:r>
      <w:r w:rsidR="0076292E" w:rsidRPr="0076292E">
        <w:rPr>
          <w:rFonts w:ascii="Verdana" w:hAnsi="Verdana"/>
          <w:sz w:val="22"/>
          <w:szCs w:val="22"/>
        </w:rPr>
        <w:t>approach to growth management</w:t>
      </w:r>
      <w:r w:rsidR="0076292E">
        <w:rPr>
          <w:rFonts w:ascii="Verdana" w:hAnsi="Verdana"/>
        </w:rPr>
        <w:t xml:space="preserve">. </w:t>
      </w:r>
    </w:p>
    <w:p w14:paraId="0D77750D" w14:textId="77777777" w:rsidR="00996FDD" w:rsidRDefault="00996FDD" w:rsidP="00B41AEE">
      <w:pPr>
        <w:rPr>
          <w:rFonts w:ascii="Verdana" w:hAnsi="Verdana"/>
        </w:rPr>
      </w:pPr>
    </w:p>
    <w:p w14:paraId="3AD22F84" w14:textId="2E13208C" w:rsidR="00D37590" w:rsidRDefault="00D37590" w:rsidP="00B41AEE">
      <w:pPr>
        <w:rPr>
          <w:rFonts w:ascii="Verdana" w:hAnsi="Verdana"/>
          <w:sz w:val="22"/>
          <w:szCs w:val="22"/>
        </w:rPr>
      </w:pPr>
      <w:r>
        <w:rPr>
          <w:rFonts w:ascii="Verdana" w:hAnsi="Verdana"/>
          <w:sz w:val="22"/>
          <w:szCs w:val="22"/>
        </w:rPr>
        <w:t xml:space="preserve">During the 2015 </w:t>
      </w:r>
      <w:r w:rsidR="00503FD8">
        <w:rPr>
          <w:rFonts w:ascii="Verdana" w:hAnsi="Verdana"/>
          <w:sz w:val="22"/>
          <w:szCs w:val="22"/>
        </w:rPr>
        <w:t xml:space="preserve">Growth Plan </w:t>
      </w:r>
      <w:r>
        <w:rPr>
          <w:rFonts w:ascii="Verdana" w:hAnsi="Verdana"/>
          <w:sz w:val="22"/>
          <w:szCs w:val="22"/>
        </w:rPr>
        <w:t xml:space="preserve">review it became clear that </w:t>
      </w:r>
      <w:r w:rsidR="00503FD8">
        <w:rPr>
          <w:rFonts w:ascii="Verdana" w:hAnsi="Verdana"/>
          <w:sz w:val="22"/>
          <w:szCs w:val="22"/>
        </w:rPr>
        <w:t xml:space="preserve">the MCR process had ensured that </w:t>
      </w:r>
      <w:r>
        <w:rPr>
          <w:rFonts w:ascii="Verdana" w:hAnsi="Verdana"/>
          <w:sz w:val="22"/>
          <w:szCs w:val="22"/>
        </w:rPr>
        <w:t xml:space="preserve">there is a </w:t>
      </w:r>
      <w:proofErr w:type="gramStart"/>
      <w:r>
        <w:rPr>
          <w:rFonts w:ascii="Verdana" w:hAnsi="Verdana"/>
          <w:sz w:val="22"/>
          <w:szCs w:val="22"/>
        </w:rPr>
        <w:t>sufficient</w:t>
      </w:r>
      <w:proofErr w:type="gramEnd"/>
      <w:r>
        <w:rPr>
          <w:rFonts w:ascii="Verdana" w:hAnsi="Verdana"/>
          <w:sz w:val="22"/>
          <w:szCs w:val="22"/>
        </w:rPr>
        <w:t xml:space="preserve"> supply of undeveloped greenfield land available to meet housing and employment needs as well as a supply of land </w:t>
      </w:r>
      <w:r w:rsidR="00503FD8">
        <w:rPr>
          <w:rFonts w:ascii="Verdana" w:hAnsi="Verdana"/>
          <w:sz w:val="22"/>
          <w:szCs w:val="22"/>
        </w:rPr>
        <w:t>with</w:t>
      </w:r>
      <w:r>
        <w:rPr>
          <w:rFonts w:ascii="Verdana" w:hAnsi="Verdana"/>
          <w:sz w:val="22"/>
          <w:szCs w:val="22"/>
        </w:rPr>
        <w:t>in our urban areas</w:t>
      </w:r>
      <w:r w:rsidR="00A1630E">
        <w:rPr>
          <w:rFonts w:ascii="Verdana" w:hAnsi="Verdana"/>
          <w:sz w:val="22"/>
          <w:szCs w:val="22"/>
        </w:rPr>
        <w:t xml:space="preserve"> to meet intensification targets. </w:t>
      </w:r>
      <w:r w:rsidR="00B42824">
        <w:rPr>
          <w:rFonts w:ascii="Verdana" w:hAnsi="Verdana"/>
          <w:sz w:val="22"/>
          <w:szCs w:val="22"/>
        </w:rPr>
        <w:t>Proposed r</w:t>
      </w:r>
      <w:r w:rsidR="00A1630E">
        <w:rPr>
          <w:rFonts w:ascii="Verdana" w:hAnsi="Verdana"/>
          <w:sz w:val="22"/>
          <w:szCs w:val="22"/>
        </w:rPr>
        <w:t>educ</w:t>
      </w:r>
      <w:r w:rsidR="00B42824">
        <w:rPr>
          <w:rFonts w:ascii="Verdana" w:hAnsi="Verdana"/>
          <w:sz w:val="22"/>
          <w:szCs w:val="22"/>
        </w:rPr>
        <w:t xml:space="preserve">tions to </w:t>
      </w:r>
      <w:r w:rsidR="00A1630E">
        <w:rPr>
          <w:rFonts w:ascii="Verdana" w:hAnsi="Verdana"/>
          <w:sz w:val="22"/>
          <w:szCs w:val="22"/>
        </w:rPr>
        <w:t xml:space="preserve">the designated greenfield targets (DGA) and allowing municipalities to ask for </w:t>
      </w:r>
      <w:r w:rsidR="00B42824">
        <w:rPr>
          <w:rFonts w:ascii="Verdana" w:hAnsi="Verdana"/>
          <w:sz w:val="22"/>
          <w:szCs w:val="22"/>
        </w:rPr>
        <w:t xml:space="preserve">even </w:t>
      </w:r>
      <w:r w:rsidR="00A1630E">
        <w:rPr>
          <w:rFonts w:ascii="Verdana" w:hAnsi="Verdana"/>
          <w:sz w:val="22"/>
          <w:szCs w:val="22"/>
        </w:rPr>
        <w:t xml:space="preserve">lower targets is contrary to the goal of creating complete, compact communities. </w:t>
      </w:r>
      <w:r w:rsidR="005C7604">
        <w:rPr>
          <w:rFonts w:ascii="Verdana" w:hAnsi="Verdana"/>
          <w:sz w:val="22"/>
          <w:szCs w:val="22"/>
        </w:rPr>
        <w:t>Gentle density and hard boundaries move us away from the wasteful low-density</w:t>
      </w:r>
      <w:r w:rsidR="00996FDD">
        <w:rPr>
          <w:rFonts w:ascii="Verdana" w:hAnsi="Verdana"/>
          <w:sz w:val="22"/>
          <w:szCs w:val="22"/>
        </w:rPr>
        <w:t xml:space="preserve"> model of development</w:t>
      </w:r>
      <w:r w:rsidR="00B42824">
        <w:rPr>
          <w:rFonts w:ascii="Verdana" w:hAnsi="Verdana"/>
          <w:sz w:val="22"/>
          <w:szCs w:val="22"/>
        </w:rPr>
        <w:t xml:space="preserve">. </w:t>
      </w:r>
      <w:r w:rsidR="00996FDD">
        <w:rPr>
          <w:rFonts w:ascii="Verdana" w:hAnsi="Verdana"/>
          <w:sz w:val="22"/>
          <w:szCs w:val="22"/>
        </w:rPr>
        <w:t xml:space="preserve"> </w:t>
      </w:r>
    </w:p>
    <w:p w14:paraId="2C75B2D8" w14:textId="77777777" w:rsidR="00D37590" w:rsidRDefault="00D37590" w:rsidP="00B41AEE">
      <w:pPr>
        <w:rPr>
          <w:rFonts w:ascii="Verdana" w:hAnsi="Verdana"/>
          <w:sz w:val="22"/>
          <w:szCs w:val="22"/>
        </w:rPr>
      </w:pPr>
    </w:p>
    <w:p w14:paraId="5B49364B" w14:textId="26547BC3" w:rsidR="00B2016D" w:rsidRDefault="00B42824" w:rsidP="000F68E0">
      <w:pPr>
        <w:rPr>
          <w:rFonts w:ascii="Verdana" w:hAnsi="Verdana"/>
          <w:sz w:val="22"/>
          <w:szCs w:val="22"/>
        </w:rPr>
      </w:pPr>
      <w:r>
        <w:rPr>
          <w:rFonts w:ascii="Verdana" w:hAnsi="Verdana"/>
          <w:sz w:val="22"/>
          <w:szCs w:val="22"/>
        </w:rPr>
        <w:t>In addition, h</w:t>
      </w:r>
      <w:r w:rsidR="00B41AEE">
        <w:rPr>
          <w:rFonts w:ascii="Verdana" w:hAnsi="Verdana"/>
          <w:sz w:val="22"/>
          <w:szCs w:val="22"/>
        </w:rPr>
        <w:t xml:space="preserve">olding the line on </w:t>
      </w:r>
      <w:r w:rsidR="00B2016D">
        <w:rPr>
          <w:rFonts w:ascii="Verdana" w:hAnsi="Verdana"/>
          <w:sz w:val="22"/>
          <w:szCs w:val="22"/>
        </w:rPr>
        <w:t>settlement area boundar</w:t>
      </w:r>
      <w:r>
        <w:rPr>
          <w:rFonts w:ascii="Verdana" w:hAnsi="Verdana"/>
          <w:sz w:val="22"/>
          <w:szCs w:val="22"/>
        </w:rPr>
        <w:t>y expansions between MCR processes</w:t>
      </w:r>
      <w:r w:rsidR="00B2016D">
        <w:rPr>
          <w:rFonts w:ascii="Verdana" w:hAnsi="Verdana"/>
          <w:sz w:val="22"/>
          <w:szCs w:val="22"/>
        </w:rPr>
        <w:t xml:space="preserve"> is key to creating complete communities</w:t>
      </w:r>
      <w:r w:rsidR="00B41AEE">
        <w:rPr>
          <w:rFonts w:ascii="Verdana" w:hAnsi="Verdana"/>
          <w:sz w:val="22"/>
          <w:szCs w:val="22"/>
        </w:rPr>
        <w:t xml:space="preserve">, </w:t>
      </w:r>
      <w:r>
        <w:rPr>
          <w:rFonts w:ascii="Verdana" w:hAnsi="Verdana"/>
          <w:sz w:val="22"/>
          <w:szCs w:val="22"/>
        </w:rPr>
        <w:t xml:space="preserve">making expansions based on a complete package of evidence, </w:t>
      </w:r>
      <w:r w:rsidR="00B41AEE">
        <w:rPr>
          <w:rFonts w:ascii="Verdana" w:hAnsi="Verdana"/>
          <w:sz w:val="22"/>
          <w:szCs w:val="22"/>
        </w:rPr>
        <w:t>maximizing infrastructure</w:t>
      </w:r>
      <w:r>
        <w:rPr>
          <w:rFonts w:ascii="Verdana" w:hAnsi="Verdana"/>
          <w:sz w:val="22"/>
          <w:szCs w:val="22"/>
        </w:rPr>
        <w:t xml:space="preserve"> efficiency,</w:t>
      </w:r>
      <w:r w:rsidR="00B41AEE">
        <w:rPr>
          <w:rFonts w:ascii="Verdana" w:hAnsi="Verdana"/>
          <w:sz w:val="22"/>
          <w:szCs w:val="22"/>
        </w:rPr>
        <w:t xml:space="preserve"> limiting the loss of productive</w:t>
      </w:r>
      <w:r w:rsidR="005C7604">
        <w:rPr>
          <w:rFonts w:ascii="Verdana" w:hAnsi="Verdana"/>
          <w:sz w:val="22"/>
          <w:szCs w:val="22"/>
        </w:rPr>
        <w:t xml:space="preserve"> and precious</w:t>
      </w:r>
      <w:r w:rsidR="00B41AEE">
        <w:rPr>
          <w:rFonts w:ascii="Verdana" w:hAnsi="Verdana"/>
          <w:sz w:val="22"/>
          <w:szCs w:val="22"/>
        </w:rPr>
        <w:t xml:space="preserve"> farmland</w:t>
      </w:r>
      <w:r w:rsidR="00BD2596">
        <w:rPr>
          <w:rFonts w:ascii="Verdana" w:hAnsi="Verdana"/>
          <w:sz w:val="22"/>
          <w:szCs w:val="22"/>
        </w:rPr>
        <w:t xml:space="preserve"> and maintaining our clean water resources</w:t>
      </w:r>
      <w:r w:rsidR="00B2016D">
        <w:rPr>
          <w:rFonts w:ascii="Verdana" w:hAnsi="Verdana"/>
          <w:sz w:val="22"/>
          <w:szCs w:val="22"/>
        </w:rPr>
        <w:t xml:space="preserve">. </w:t>
      </w:r>
    </w:p>
    <w:p w14:paraId="22B4B5D6" w14:textId="77777777" w:rsidR="00FC39F3" w:rsidRDefault="00FC39F3" w:rsidP="00CD2F30">
      <w:pPr>
        <w:rPr>
          <w:rFonts w:ascii="Verdana" w:hAnsi="Verdana"/>
          <w:sz w:val="22"/>
          <w:szCs w:val="22"/>
        </w:rPr>
      </w:pPr>
    </w:p>
    <w:p w14:paraId="09B09D60" w14:textId="4C610014" w:rsidR="00B2016D" w:rsidRDefault="00B2016D" w:rsidP="00CD2F30">
      <w:pPr>
        <w:rPr>
          <w:rFonts w:ascii="Verdana" w:hAnsi="Verdana"/>
          <w:sz w:val="22"/>
          <w:szCs w:val="22"/>
        </w:rPr>
      </w:pPr>
      <w:r>
        <w:rPr>
          <w:rFonts w:ascii="Verdana" w:hAnsi="Verdana"/>
          <w:sz w:val="22"/>
          <w:szCs w:val="22"/>
        </w:rPr>
        <w:t xml:space="preserve">On behalf of the Ontario Greenbelt Alliance </w:t>
      </w:r>
      <w:r w:rsidR="00410D65">
        <w:rPr>
          <w:rFonts w:ascii="Verdana" w:hAnsi="Verdana"/>
          <w:sz w:val="22"/>
          <w:szCs w:val="22"/>
        </w:rPr>
        <w:t>I</w:t>
      </w:r>
      <w:r>
        <w:rPr>
          <w:rFonts w:ascii="Verdana" w:hAnsi="Verdana"/>
          <w:sz w:val="22"/>
          <w:szCs w:val="22"/>
        </w:rPr>
        <w:t xml:space="preserve"> submit the following comments</w:t>
      </w:r>
      <w:r w:rsidR="00D37590">
        <w:rPr>
          <w:rFonts w:ascii="Verdana" w:hAnsi="Verdana"/>
          <w:sz w:val="22"/>
          <w:szCs w:val="22"/>
        </w:rPr>
        <w:t xml:space="preserve"> on </w:t>
      </w:r>
      <w:r w:rsidR="00115E9F">
        <w:rPr>
          <w:rFonts w:ascii="Verdana" w:hAnsi="Verdana"/>
          <w:sz w:val="22"/>
          <w:szCs w:val="22"/>
        </w:rPr>
        <w:t>Growth Plan A</w:t>
      </w:r>
      <w:r w:rsidR="00D37590">
        <w:rPr>
          <w:rFonts w:ascii="Verdana" w:hAnsi="Verdana"/>
          <w:sz w:val="22"/>
          <w:szCs w:val="22"/>
        </w:rPr>
        <w:t xml:space="preserve">mendment </w:t>
      </w:r>
      <w:r w:rsidR="00340588">
        <w:rPr>
          <w:rFonts w:ascii="Verdana" w:hAnsi="Verdana"/>
          <w:sz w:val="22"/>
          <w:szCs w:val="22"/>
        </w:rPr>
        <w:t>one</w:t>
      </w:r>
      <w:r w:rsidR="00115E9F">
        <w:rPr>
          <w:rFonts w:ascii="Verdana" w:hAnsi="Verdana"/>
          <w:sz w:val="22"/>
          <w:szCs w:val="22"/>
        </w:rPr>
        <w:t xml:space="preserve"> </w:t>
      </w:r>
      <w:r>
        <w:rPr>
          <w:rFonts w:ascii="Verdana" w:hAnsi="Verdana"/>
          <w:sz w:val="22"/>
          <w:szCs w:val="22"/>
        </w:rPr>
        <w:t xml:space="preserve">for your consideration. </w:t>
      </w:r>
    </w:p>
    <w:p w14:paraId="57921C0E" w14:textId="40C63985" w:rsidR="00B2016D" w:rsidRDefault="00B2016D" w:rsidP="00CD2F30">
      <w:pPr>
        <w:rPr>
          <w:rFonts w:ascii="Verdana" w:hAnsi="Verdana"/>
          <w:sz w:val="22"/>
          <w:szCs w:val="22"/>
        </w:rPr>
      </w:pPr>
    </w:p>
    <w:p w14:paraId="0F9983FA" w14:textId="0F68CD70" w:rsidR="00180005" w:rsidRDefault="00180005" w:rsidP="00CD2F30">
      <w:pPr>
        <w:rPr>
          <w:rFonts w:ascii="Verdana" w:hAnsi="Verdana"/>
          <w:sz w:val="22"/>
          <w:szCs w:val="22"/>
        </w:rPr>
      </w:pPr>
    </w:p>
    <w:p w14:paraId="429DFD55" w14:textId="420C6FD5" w:rsidR="00180005" w:rsidRDefault="00180005" w:rsidP="00CD2F30">
      <w:pPr>
        <w:rPr>
          <w:rFonts w:ascii="Verdana" w:hAnsi="Verdana"/>
          <w:sz w:val="22"/>
          <w:szCs w:val="22"/>
        </w:rPr>
      </w:pPr>
    </w:p>
    <w:p w14:paraId="722B22EE" w14:textId="77777777" w:rsidR="00180005" w:rsidRDefault="00180005" w:rsidP="00CD2F30">
      <w:pPr>
        <w:rPr>
          <w:rFonts w:ascii="Verdana" w:hAnsi="Verdana"/>
          <w:sz w:val="22"/>
          <w:szCs w:val="22"/>
        </w:rPr>
      </w:pPr>
    </w:p>
    <w:p w14:paraId="1B4B170F" w14:textId="77777777" w:rsidR="00B2016D" w:rsidRDefault="00B2016D" w:rsidP="00CD2F30">
      <w:pPr>
        <w:rPr>
          <w:rFonts w:ascii="Verdana" w:hAnsi="Verdana"/>
          <w:sz w:val="22"/>
          <w:szCs w:val="22"/>
        </w:rPr>
      </w:pPr>
    </w:p>
    <w:p w14:paraId="2AC0695A" w14:textId="77777777" w:rsidR="00B2016D" w:rsidRDefault="00115E9F" w:rsidP="00CD2F30">
      <w:pPr>
        <w:rPr>
          <w:rFonts w:ascii="Verdana" w:hAnsi="Verdana"/>
          <w:sz w:val="22"/>
          <w:szCs w:val="22"/>
        </w:rPr>
      </w:pPr>
      <w:r>
        <w:rPr>
          <w:rFonts w:ascii="Verdana" w:hAnsi="Verdana"/>
          <w:sz w:val="22"/>
          <w:szCs w:val="22"/>
        </w:rPr>
        <w:lastRenderedPageBreak/>
        <w:t xml:space="preserve">Sincerely, </w:t>
      </w:r>
    </w:p>
    <w:p w14:paraId="32965F70" w14:textId="77777777" w:rsidR="00115E9F" w:rsidRDefault="00115E9F" w:rsidP="00CD2F30">
      <w:pPr>
        <w:rPr>
          <w:rFonts w:ascii="Verdana" w:hAnsi="Verdana"/>
          <w:sz w:val="22"/>
          <w:szCs w:val="22"/>
        </w:rPr>
      </w:pPr>
    </w:p>
    <w:p w14:paraId="0DA90F49" w14:textId="77777777" w:rsidR="00180005" w:rsidRDefault="00180005" w:rsidP="00CD2F30">
      <w:pPr>
        <w:rPr>
          <w:rFonts w:ascii="Verdana" w:hAnsi="Verdana"/>
          <w:sz w:val="22"/>
          <w:szCs w:val="22"/>
        </w:rPr>
      </w:pPr>
    </w:p>
    <w:p w14:paraId="4DD818F0" w14:textId="7BE7FB85" w:rsidR="00115E9F" w:rsidRDefault="00115E9F" w:rsidP="00CD2F30">
      <w:pPr>
        <w:rPr>
          <w:rFonts w:ascii="Verdana" w:hAnsi="Verdana"/>
          <w:sz w:val="22"/>
          <w:szCs w:val="22"/>
        </w:rPr>
      </w:pPr>
      <w:r>
        <w:rPr>
          <w:rFonts w:ascii="Verdana" w:hAnsi="Verdana"/>
          <w:sz w:val="22"/>
          <w:szCs w:val="22"/>
        </w:rPr>
        <w:t xml:space="preserve">XX </w:t>
      </w:r>
    </w:p>
    <w:p w14:paraId="76419370" w14:textId="77777777" w:rsidR="00115E9F" w:rsidRDefault="00115E9F" w:rsidP="00CD2F30">
      <w:pPr>
        <w:rPr>
          <w:rFonts w:ascii="Verdana" w:hAnsi="Verdana"/>
          <w:sz w:val="22"/>
          <w:szCs w:val="22"/>
        </w:rPr>
      </w:pPr>
      <w:r>
        <w:rPr>
          <w:rFonts w:ascii="Verdana" w:hAnsi="Verdana"/>
          <w:sz w:val="22"/>
          <w:szCs w:val="22"/>
        </w:rPr>
        <w:t>On behalf of the Ontario Greenbelt Alliance</w:t>
      </w:r>
    </w:p>
    <w:p w14:paraId="4CC2313D" w14:textId="77777777" w:rsidR="00115E9F" w:rsidRDefault="00115E9F" w:rsidP="00CD2F30">
      <w:pPr>
        <w:rPr>
          <w:rFonts w:ascii="Verdana" w:hAnsi="Verdana"/>
          <w:sz w:val="22"/>
          <w:szCs w:val="22"/>
        </w:rPr>
      </w:pPr>
    </w:p>
    <w:p w14:paraId="50E7CD3F" w14:textId="77777777" w:rsidR="00115E9F" w:rsidRDefault="00115E9F" w:rsidP="00CD2F30">
      <w:pPr>
        <w:rPr>
          <w:rFonts w:ascii="Verdana" w:hAnsi="Verdana"/>
          <w:sz w:val="22"/>
          <w:szCs w:val="22"/>
        </w:rPr>
      </w:pPr>
    </w:p>
    <w:p w14:paraId="07EF6760" w14:textId="77777777" w:rsidR="00115E9F" w:rsidRDefault="00115E9F" w:rsidP="00CD2F30">
      <w:pPr>
        <w:rPr>
          <w:rFonts w:ascii="Verdana" w:hAnsi="Verdana"/>
          <w:sz w:val="22"/>
          <w:szCs w:val="22"/>
        </w:rPr>
      </w:pPr>
      <w:bookmarkStart w:id="0" w:name="_GoBack"/>
      <w:bookmarkEnd w:id="0"/>
    </w:p>
    <w:p w14:paraId="065D8DA5" w14:textId="77777777" w:rsidR="00115E9F" w:rsidRDefault="00115E9F" w:rsidP="00CD2F30">
      <w:pPr>
        <w:rPr>
          <w:rFonts w:ascii="Verdana" w:hAnsi="Verdana"/>
          <w:sz w:val="22"/>
          <w:szCs w:val="22"/>
        </w:rPr>
      </w:pPr>
    </w:p>
    <w:p w14:paraId="4E0F9628" w14:textId="77777777" w:rsidR="00CD2F30" w:rsidRPr="00CD2F30" w:rsidRDefault="00CD2F30" w:rsidP="00CD2F30">
      <w:pPr>
        <w:pStyle w:val="ListParagraph"/>
        <w:numPr>
          <w:ilvl w:val="0"/>
          <w:numId w:val="3"/>
        </w:numPr>
        <w:spacing w:after="0" w:line="240" w:lineRule="auto"/>
        <w:rPr>
          <w:rFonts w:ascii="Verdana" w:hAnsi="Verdana"/>
          <w:b/>
        </w:rPr>
      </w:pPr>
      <w:r w:rsidRPr="00CD2F30">
        <w:rPr>
          <w:rFonts w:ascii="Verdana" w:hAnsi="Verdana"/>
          <w:b/>
        </w:rPr>
        <w:t>Employment area conversions</w:t>
      </w:r>
    </w:p>
    <w:p w14:paraId="4700649B" w14:textId="512F15C5" w:rsidR="000F12DB" w:rsidRDefault="00B12BAC" w:rsidP="00CD2F30">
      <w:pPr>
        <w:rPr>
          <w:rFonts w:ascii="Verdana" w:hAnsi="Verdana"/>
          <w:sz w:val="22"/>
          <w:szCs w:val="22"/>
        </w:rPr>
      </w:pPr>
      <w:r>
        <w:rPr>
          <w:rFonts w:ascii="Verdana" w:hAnsi="Verdana"/>
          <w:sz w:val="22"/>
          <w:szCs w:val="22"/>
        </w:rPr>
        <w:t>T</w:t>
      </w:r>
      <w:r w:rsidR="00CD2F30" w:rsidRPr="00CD2F30">
        <w:rPr>
          <w:rFonts w:ascii="Verdana" w:hAnsi="Verdana"/>
          <w:sz w:val="22"/>
          <w:szCs w:val="22"/>
        </w:rPr>
        <w:t xml:space="preserve">he existing </w:t>
      </w:r>
      <w:r w:rsidR="00410D65">
        <w:rPr>
          <w:rFonts w:ascii="Verdana" w:hAnsi="Verdana"/>
          <w:sz w:val="22"/>
          <w:szCs w:val="22"/>
        </w:rPr>
        <w:t>MCR</w:t>
      </w:r>
      <w:r>
        <w:rPr>
          <w:rFonts w:ascii="Verdana" w:hAnsi="Verdana"/>
          <w:sz w:val="22"/>
          <w:szCs w:val="22"/>
        </w:rPr>
        <w:t xml:space="preserve"> </w:t>
      </w:r>
      <w:r w:rsidR="00CD2F30" w:rsidRPr="00CD2F30">
        <w:rPr>
          <w:rFonts w:ascii="Verdana" w:hAnsi="Verdana"/>
          <w:sz w:val="22"/>
          <w:szCs w:val="22"/>
        </w:rPr>
        <w:t xml:space="preserve">process may in some cases be too onerous and hinder </w:t>
      </w:r>
      <w:r w:rsidR="00831348">
        <w:rPr>
          <w:rFonts w:ascii="Verdana" w:hAnsi="Verdana"/>
          <w:sz w:val="22"/>
          <w:szCs w:val="22"/>
        </w:rPr>
        <w:t>the creation of</w:t>
      </w:r>
      <w:r w:rsidR="00CD2F30" w:rsidRPr="00CD2F30">
        <w:rPr>
          <w:rFonts w:ascii="Verdana" w:hAnsi="Verdana"/>
          <w:sz w:val="22"/>
          <w:szCs w:val="22"/>
        </w:rPr>
        <w:t xml:space="preserve"> </w:t>
      </w:r>
      <w:r w:rsidR="0075594D">
        <w:rPr>
          <w:rFonts w:ascii="Verdana" w:hAnsi="Verdana"/>
          <w:sz w:val="22"/>
          <w:szCs w:val="22"/>
        </w:rPr>
        <w:t>mixed</w:t>
      </w:r>
      <w:r w:rsidR="00CA2AB0">
        <w:rPr>
          <w:rFonts w:ascii="Verdana" w:hAnsi="Verdana"/>
          <w:sz w:val="22"/>
          <w:szCs w:val="22"/>
        </w:rPr>
        <w:t>-</w:t>
      </w:r>
      <w:r w:rsidR="0075594D">
        <w:rPr>
          <w:rFonts w:ascii="Verdana" w:hAnsi="Verdana"/>
          <w:sz w:val="22"/>
          <w:szCs w:val="22"/>
        </w:rPr>
        <w:t xml:space="preserve">use </w:t>
      </w:r>
      <w:r w:rsidR="00CD2F30" w:rsidRPr="00CD2F30">
        <w:rPr>
          <w:rFonts w:ascii="Verdana" w:hAnsi="Verdana"/>
          <w:sz w:val="22"/>
          <w:szCs w:val="22"/>
        </w:rPr>
        <w:t>projects</w:t>
      </w:r>
      <w:r w:rsidR="00831348">
        <w:rPr>
          <w:rFonts w:ascii="Verdana" w:hAnsi="Verdana"/>
          <w:sz w:val="22"/>
          <w:szCs w:val="22"/>
        </w:rPr>
        <w:t xml:space="preserve"> (e.g.</w:t>
      </w:r>
      <w:r w:rsidR="00CD2F30" w:rsidRPr="00CD2F30">
        <w:rPr>
          <w:rFonts w:ascii="Verdana" w:hAnsi="Verdana"/>
          <w:sz w:val="22"/>
          <w:szCs w:val="22"/>
        </w:rPr>
        <w:t xml:space="preserve"> the redevelopment of </w:t>
      </w:r>
      <w:r w:rsidR="0075594D">
        <w:rPr>
          <w:rFonts w:ascii="Verdana" w:hAnsi="Verdana"/>
          <w:sz w:val="22"/>
          <w:szCs w:val="22"/>
        </w:rPr>
        <w:t xml:space="preserve">lands near </w:t>
      </w:r>
      <w:r w:rsidR="00CD2F30" w:rsidRPr="00CD2F30">
        <w:rPr>
          <w:rFonts w:ascii="Verdana" w:hAnsi="Verdana"/>
          <w:sz w:val="22"/>
          <w:szCs w:val="22"/>
        </w:rPr>
        <w:t>the Kitchener ION</w:t>
      </w:r>
      <w:r w:rsidR="00831348">
        <w:rPr>
          <w:rFonts w:ascii="Verdana" w:hAnsi="Verdana"/>
          <w:sz w:val="22"/>
          <w:szCs w:val="22"/>
        </w:rPr>
        <w:t>)</w:t>
      </w:r>
      <w:r w:rsidR="00CD2F30" w:rsidRPr="00CD2F30">
        <w:rPr>
          <w:rFonts w:ascii="Verdana" w:hAnsi="Verdana"/>
          <w:sz w:val="22"/>
          <w:szCs w:val="22"/>
        </w:rPr>
        <w:t>.</w:t>
      </w:r>
      <w:r w:rsidR="00D10CAD">
        <w:rPr>
          <w:rFonts w:ascii="Verdana" w:hAnsi="Verdana"/>
          <w:sz w:val="22"/>
          <w:szCs w:val="22"/>
        </w:rPr>
        <w:t xml:space="preserve"> Employment uses are changing</w:t>
      </w:r>
      <w:r w:rsidR="00BD2596">
        <w:rPr>
          <w:rFonts w:ascii="Verdana" w:hAnsi="Verdana"/>
          <w:sz w:val="22"/>
          <w:szCs w:val="22"/>
        </w:rPr>
        <w:t xml:space="preserve"> and work is becoming increasingly mobile</w:t>
      </w:r>
      <w:r w:rsidR="00D10CAD">
        <w:rPr>
          <w:rFonts w:ascii="Verdana" w:hAnsi="Verdana"/>
          <w:sz w:val="22"/>
          <w:szCs w:val="22"/>
        </w:rPr>
        <w:t>. Economic development strategies are essential to understand local needs and employment trends</w:t>
      </w:r>
      <w:r w:rsidR="00831348">
        <w:rPr>
          <w:rFonts w:ascii="Verdana" w:hAnsi="Verdana"/>
          <w:sz w:val="22"/>
          <w:szCs w:val="22"/>
        </w:rPr>
        <w:t xml:space="preserve"> and these strategies should inform any desired conversions</w:t>
      </w:r>
      <w:r w:rsidR="00D10CAD">
        <w:rPr>
          <w:rFonts w:ascii="Verdana" w:hAnsi="Verdana"/>
          <w:sz w:val="22"/>
          <w:szCs w:val="22"/>
        </w:rPr>
        <w:t xml:space="preserve">. </w:t>
      </w:r>
    </w:p>
    <w:p w14:paraId="7520739C" w14:textId="77777777" w:rsidR="00BD2596" w:rsidRDefault="00BD2596" w:rsidP="00CD2F30">
      <w:pPr>
        <w:rPr>
          <w:rFonts w:ascii="Verdana" w:hAnsi="Verdana"/>
          <w:sz w:val="22"/>
          <w:szCs w:val="22"/>
        </w:rPr>
      </w:pPr>
    </w:p>
    <w:p w14:paraId="790017B0" w14:textId="14E1806F" w:rsidR="00CD2F30" w:rsidRDefault="00C65DD3" w:rsidP="00CD2F30">
      <w:pPr>
        <w:rPr>
          <w:rFonts w:ascii="Verdana" w:hAnsi="Verdana"/>
          <w:sz w:val="22"/>
          <w:szCs w:val="22"/>
        </w:rPr>
      </w:pPr>
      <w:r>
        <w:rPr>
          <w:rFonts w:ascii="Verdana" w:hAnsi="Verdana"/>
          <w:sz w:val="22"/>
          <w:szCs w:val="22"/>
        </w:rPr>
        <w:t xml:space="preserve">Like all planning matters, </w:t>
      </w:r>
      <w:r w:rsidR="000F12DB">
        <w:rPr>
          <w:rFonts w:ascii="Verdana" w:hAnsi="Verdana"/>
          <w:sz w:val="22"/>
          <w:szCs w:val="22"/>
        </w:rPr>
        <w:t>conversions should be</w:t>
      </w:r>
      <w:r w:rsidR="00D10CAD">
        <w:rPr>
          <w:rFonts w:ascii="Verdana" w:hAnsi="Verdana"/>
          <w:sz w:val="22"/>
          <w:szCs w:val="22"/>
        </w:rPr>
        <w:t xml:space="preserve"> public and </w:t>
      </w:r>
      <w:r w:rsidR="000F12DB">
        <w:rPr>
          <w:rFonts w:ascii="Verdana" w:hAnsi="Verdana"/>
          <w:sz w:val="22"/>
          <w:szCs w:val="22"/>
        </w:rPr>
        <w:t>evidence based</w:t>
      </w:r>
      <w:r w:rsidR="00BD2596">
        <w:rPr>
          <w:rFonts w:ascii="Verdana" w:hAnsi="Verdana"/>
          <w:sz w:val="22"/>
          <w:szCs w:val="22"/>
        </w:rPr>
        <w:t>.</w:t>
      </w:r>
      <w:r w:rsidR="00104BA4">
        <w:rPr>
          <w:rFonts w:ascii="Verdana" w:hAnsi="Verdana"/>
          <w:sz w:val="22"/>
          <w:szCs w:val="22"/>
        </w:rPr>
        <w:t xml:space="preserve"> </w:t>
      </w:r>
      <w:r>
        <w:rPr>
          <w:rFonts w:ascii="Verdana" w:hAnsi="Verdana"/>
          <w:sz w:val="22"/>
          <w:szCs w:val="22"/>
        </w:rPr>
        <w:t xml:space="preserve">Conversions </w:t>
      </w:r>
      <w:r w:rsidR="0075594D">
        <w:rPr>
          <w:rFonts w:ascii="Verdana" w:hAnsi="Verdana"/>
          <w:sz w:val="22"/>
          <w:szCs w:val="22"/>
        </w:rPr>
        <w:t xml:space="preserve">should only occur if the employment lands are </w:t>
      </w:r>
      <w:r w:rsidR="00831348">
        <w:rPr>
          <w:rFonts w:ascii="Verdana" w:hAnsi="Verdana"/>
          <w:sz w:val="22"/>
          <w:szCs w:val="22"/>
        </w:rPr>
        <w:t xml:space="preserve">in </w:t>
      </w:r>
      <w:r w:rsidR="0075594D">
        <w:rPr>
          <w:rFonts w:ascii="Verdana" w:hAnsi="Verdana"/>
          <w:sz w:val="22"/>
          <w:szCs w:val="22"/>
        </w:rPr>
        <w:t xml:space="preserve">excess </w:t>
      </w:r>
      <w:r w:rsidR="00831348">
        <w:rPr>
          <w:rFonts w:ascii="Verdana" w:hAnsi="Verdana"/>
          <w:sz w:val="22"/>
          <w:szCs w:val="22"/>
        </w:rPr>
        <w:t xml:space="preserve">of projected needs </w:t>
      </w:r>
      <w:r w:rsidR="0075594D">
        <w:rPr>
          <w:rFonts w:ascii="Verdana" w:hAnsi="Verdana"/>
          <w:sz w:val="22"/>
          <w:szCs w:val="22"/>
        </w:rPr>
        <w:t>to 2041</w:t>
      </w:r>
      <w:r w:rsidR="000F12DB">
        <w:rPr>
          <w:rFonts w:ascii="Verdana" w:hAnsi="Verdana"/>
          <w:sz w:val="22"/>
          <w:szCs w:val="22"/>
        </w:rPr>
        <w:t xml:space="preserve">. </w:t>
      </w:r>
    </w:p>
    <w:p w14:paraId="1399AA0F" w14:textId="77777777" w:rsidR="00BD2596" w:rsidRPr="00CD2F30" w:rsidRDefault="00BD2596" w:rsidP="00CD2F30">
      <w:pPr>
        <w:rPr>
          <w:rFonts w:ascii="Verdana" w:hAnsi="Verdana"/>
          <w:sz w:val="22"/>
          <w:szCs w:val="22"/>
        </w:rPr>
      </w:pPr>
    </w:p>
    <w:p w14:paraId="091DC351" w14:textId="77777777" w:rsidR="008C5CEC" w:rsidRPr="008C5CEC" w:rsidRDefault="008C5CEC" w:rsidP="00CD2F30">
      <w:pPr>
        <w:rPr>
          <w:rFonts w:ascii="Verdana" w:hAnsi="Verdana"/>
          <w:b/>
          <w:sz w:val="22"/>
          <w:szCs w:val="22"/>
        </w:rPr>
      </w:pPr>
      <w:r w:rsidRPr="008C5CEC">
        <w:rPr>
          <w:rFonts w:ascii="Verdana" w:hAnsi="Verdana"/>
          <w:b/>
          <w:sz w:val="22"/>
          <w:szCs w:val="22"/>
        </w:rPr>
        <w:t xml:space="preserve">Recommendation: </w:t>
      </w:r>
    </w:p>
    <w:p w14:paraId="55DAA0F0" w14:textId="77777777" w:rsidR="00CD2F30" w:rsidRPr="00CD2F30" w:rsidRDefault="00D10CAD" w:rsidP="00CD2F30">
      <w:pPr>
        <w:rPr>
          <w:rFonts w:ascii="Verdana" w:hAnsi="Verdana"/>
          <w:sz w:val="22"/>
          <w:szCs w:val="22"/>
        </w:rPr>
      </w:pPr>
      <w:r>
        <w:rPr>
          <w:rFonts w:ascii="Verdana" w:hAnsi="Verdana"/>
          <w:sz w:val="22"/>
          <w:szCs w:val="22"/>
        </w:rPr>
        <w:t xml:space="preserve">The following conditions should apply to employment land conversions: </w:t>
      </w:r>
    </w:p>
    <w:p w14:paraId="3F5CFEF7" w14:textId="77777777" w:rsidR="007E414D" w:rsidRDefault="00CD2F30" w:rsidP="00FE0E96">
      <w:pPr>
        <w:pStyle w:val="ListParagraph"/>
        <w:numPr>
          <w:ilvl w:val="1"/>
          <w:numId w:val="3"/>
        </w:numPr>
        <w:spacing w:before="120" w:after="120" w:line="240" w:lineRule="auto"/>
        <w:ind w:left="714" w:hanging="357"/>
        <w:contextualSpacing w:val="0"/>
        <w:rPr>
          <w:rFonts w:ascii="Verdana" w:hAnsi="Verdana"/>
        </w:rPr>
      </w:pPr>
      <w:r w:rsidRPr="00CD2F30">
        <w:rPr>
          <w:rFonts w:ascii="Verdana" w:hAnsi="Verdana"/>
        </w:rPr>
        <w:t>the proposed land designation conversion supports the objectives of the Growth Plan, in particular, the density targets for residents/jobs per ha</w:t>
      </w:r>
      <w:r w:rsidR="001508B4">
        <w:rPr>
          <w:rFonts w:ascii="Verdana" w:hAnsi="Verdana"/>
        </w:rPr>
        <w:t xml:space="preserve"> are attained that support transit, 150 ppj/ha and 200 ppj/ha near subways</w:t>
      </w:r>
      <w:r w:rsidR="002E472A">
        <w:rPr>
          <w:rFonts w:ascii="Verdana" w:hAnsi="Verdana"/>
        </w:rPr>
        <w:t xml:space="preserve"> and 80 ppj/ha for regular 10-15 minute bus service</w:t>
      </w:r>
      <w:r w:rsidR="007E414D">
        <w:rPr>
          <w:rFonts w:ascii="Verdana" w:hAnsi="Verdana"/>
        </w:rPr>
        <w:t xml:space="preserve">. </w:t>
      </w:r>
    </w:p>
    <w:p w14:paraId="6DAE1328" w14:textId="77777777" w:rsidR="00D10CAD" w:rsidRDefault="007E414D" w:rsidP="00FE0E96">
      <w:pPr>
        <w:pStyle w:val="ListParagraph"/>
        <w:numPr>
          <w:ilvl w:val="1"/>
          <w:numId w:val="3"/>
        </w:numPr>
        <w:spacing w:before="120" w:after="120" w:line="240" w:lineRule="auto"/>
        <w:ind w:left="714" w:hanging="357"/>
        <w:contextualSpacing w:val="0"/>
        <w:rPr>
          <w:rFonts w:ascii="Verdana" w:hAnsi="Verdana"/>
        </w:rPr>
      </w:pPr>
      <w:r>
        <w:rPr>
          <w:rFonts w:ascii="Verdana" w:hAnsi="Verdana"/>
        </w:rPr>
        <w:t xml:space="preserve">the conversion is </w:t>
      </w:r>
      <w:r w:rsidR="005501D5">
        <w:rPr>
          <w:rFonts w:ascii="Verdana" w:hAnsi="Verdana"/>
        </w:rPr>
        <w:t xml:space="preserve">to </w:t>
      </w:r>
      <w:r>
        <w:rPr>
          <w:rFonts w:ascii="Verdana" w:hAnsi="Verdana"/>
        </w:rPr>
        <w:t>mixed use</w:t>
      </w:r>
      <w:r w:rsidR="005501D5">
        <w:rPr>
          <w:rFonts w:ascii="Verdana" w:hAnsi="Verdana"/>
        </w:rPr>
        <w:t>, multi- storey buildings</w:t>
      </w:r>
      <w:r>
        <w:rPr>
          <w:rFonts w:ascii="Verdana" w:hAnsi="Verdana"/>
        </w:rPr>
        <w:t xml:space="preserve"> and </w:t>
      </w:r>
      <w:r w:rsidR="005501D5">
        <w:rPr>
          <w:rFonts w:ascii="Verdana" w:hAnsi="Verdana"/>
        </w:rPr>
        <w:t>prioritizes</w:t>
      </w:r>
      <w:r>
        <w:rPr>
          <w:rFonts w:ascii="Verdana" w:hAnsi="Verdana"/>
        </w:rPr>
        <w:t xml:space="preserve"> rental housing</w:t>
      </w:r>
      <w:r w:rsidR="001508B4">
        <w:rPr>
          <w:rFonts w:ascii="Verdana" w:hAnsi="Verdana"/>
        </w:rPr>
        <w:t xml:space="preserve">. </w:t>
      </w:r>
      <w:r w:rsidR="00D10CAD">
        <w:rPr>
          <w:rFonts w:ascii="Verdana" w:hAnsi="Verdana"/>
        </w:rPr>
        <w:t xml:space="preserve">Employment land is not converted to low-density single family housing. </w:t>
      </w:r>
    </w:p>
    <w:p w14:paraId="4A21E608" w14:textId="77777777" w:rsidR="00B252A4" w:rsidRDefault="0076292E" w:rsidP="00FE0E96">
      <w:pPr>
        <w:pStyle w:val="ListParagraph"/>
        <w:numPr>
          <w:ilvl w:val="1"/>
          <w:numId w:val="3"/>
        </w:numPr>
        <w:spacing w:before="120" w:after="120" w:line="240" w:lineRule="auto"/>
        <w:ind w:left="714" w:hanging="357"/>
        <w:contextualSpacing w:val="0"/>
        <w:rPr>
          <w:rFonts w:ascii="Verdana" w:hAnsi="Verdana"/>
        </w:rPr>
      </w:pPr>
      <w:r>
        <w:rPr>
          <w:rFonts w:ascii="Verdana" w:hAnsi="Verdana"/>
        </w:rPr>
        <w:t>d</w:t>
      </w:r>
      <w:r w:rsidR="00B252A4" w:rsidRPr="00B252A4">
        <w:rPr>
          <w:rFonts w:ascii="Verdana" w:hAnsi="Verdana"/>
        </w:rPr>
        <w:t xml:space="preserve">esignated </w:t>
      </w:r>
      <w:r w:rsidR="00D10CAD" w:rsidRPr="00B252A4">
        <w:rPr>
          <w:rFonts w:ascii="Verdana" w:hAnsi="Verdana"/>
        </w:rPr>
        <w:t>e</w:t>
      </w:r>
      <w:r w:rsidR="001508B4" w:rsidRPr="00B252A4">
        <w:rPr>
          <w:rFonts w:ascii="Verdana" w:hAnsi="Verdana"/>
        </w:rPr>
        <w:t xml:space="preserve">mployment land within </w:t>
      </w:r>
      <w:r w:rsidR="00B252A4" w:rsidRPr="00B252A4">
        <w:rPr>
          <w:rFonts w:ascii="Verdana" w:hAnsi="Verdana"/>
        </w:rPr>
        <w:t>500 m</w:t>
      </w:r>
      <w:r w:rsidR="00241434" w:rsidRPr="00B252A4">
        <w:rPr>
          <w:rFonts w:ascii="Verdana" w:hAnsi="Verdana"/>
        </w:rPr>
        <w:t xml:space="preserve"> </w:t>
      </w:r>
      <w:r w:rsidR="007E414D" w:rsidRPr="00B252A4">
        <w:rPr>
          <w:rFonts w:ascii="Verdana" w:hAnsi="Verdana"/>
        </w:rPr>
        <w:t xml:space="preserve">of a </w:t>
      </w:r>
      <w:r w:rsidR="00B252A4" w:rsidRPr="00B252A4">
        <w:rPr>
          <w:rFonts w:ascii="Verdana" w:hAnsi="Verdana"/>
        </w:rPr>
        <w:t xml:space="preserve">400 series </w:t>
      </w:r>
      <w:r w:rsidR="007E414D" w:rsidRPr="00B252A4">
        <w:rPr>
          <w:rFonts w:ascii="Verdana" w:hAnsi="Verdana"/>
        </w:rPr>
        <w:t>highway should be retained for employment uses</w:t>
      </w:r>
      <w:r w:rsidR="00BD2596">
        <w:rPr>
          <w:rFonts w:ascii="Verdana" w:hAnsi="Verdana"/>
        </w:rPr>
        <w:t xml:space="preserve"> and agriculture</w:t>
      </w:r>
      <w:r w:rsidR="00B252A4" w:rsidRPr="00B252A4">
        <w:rPr>
          <w:rFonts w:ascii="Verdana" w:hAnsi="Verdana"/>
        </w:rPr>
        <w:t xml:space="preserve">, not converted to housing </w:t>
      </w:r>
      <w:r w:rsidR="00BD2596">
        <w:rPr>
          <w:rFonts w:ascii="Verdana" w:hAnsi="Verdana"/>
        </w:rPr>
        <w:t xml:space="preserve">or institutional uses </w:t>
      </w:r>
      <w:r w:rsidR="00B252A4" w:rsidRPr="00B252A4">
        <w:rPr>
          <w:rFonts w:ascii="Verdana" w:hAnsi="Verdana"/>
        </w:rPr>
        <w:t>due to health impacts</w:t>
      </w:r>
      <w:r w:rsidR="00BD2596">
        <w:rPr>
          <w:rFonts w:ascii="Verdana" w:hAnsi="Verdana"/>
        </w:rPr>
        <w:t xml:space="preserve"> from traffic pollution</w:t>
      </w:r>
      <w:r w:rsidR="00B252A4">
        <w:rPr>
          <w:rFonts w:ascii="Verdana" w:hAnsi="Verdana"/>
        </w:rPr>
        <w:t xml:space="preserve">. </w:t>
      </w:r>
    </w:p>
    <w:p w14:paraId="1182AE88" w14:textId="77777777" w:rsidR="00CD2F30" w:rsidRPr="00B252A4" w:rsidRDefault="00B252A4" w:rsidP="00FE0E96">
      <w:pPr>
        <w:pStyle w:val="ListParagraph"/>
        <w:numPr>
          <w:ilvl w:val="1"/>
          <w:numId w:val="3"/>
        </w:numPr>
        <w:spacing w:before="120" w:after="120" w:line="240" w:lineRule="auto"/>
        <w:ind w:left="714" w:hanging="357"/>
        <w:contextualSpacing w:val="0"/>
        <w:rPr>
          <w:rFonts w:ascii="Verdana" w:hAnsi="Verdana"/>
        </w:rPr>
      </w:pPr>
      <w:r>
        <w:rPr>
          <w:rFonts w:ascii="Verdana" w:hAnsi="Verdana"/>
        </w:rPr>
        <w:t xml:space="preserve">conversions </w:t>
      </w:r>
      <w:r w:rsidR="007E414D" w:rsidRPr="00B252A4">
        <w:rPr>
          <w:rFonts w:ascii="Verdana" w:hAnsi="Verdana"/>
        </w:rPr>
        <w:t>are</w:t>
      </w:r>
      <w:r w:rsidR="00241434" w:rsidRPr="00B252A4">
        <w:rPr>
          <w:rFonts w:ascii="Verdana" w:hAnsi="Verdana"/>
        </w:rPr>
        <w:t xml:space="preserve"> evidence-based,</w:t>
      </w:r>
      <w:r w:rsidR="00CD2F30" w:rsidRPr="00B252A4">
        <w:rPr>
          <w:rFonts w:ascii="Verdana" w:hAnsi="Verdana"/>
        </w:rPr>
        <w:t xml:space="preserve"> a regional </w:t>
      </w:r>
      <w:r w:rsidR="001508B4" w:rsidRPr="00B252A4">
        <w:rPr>
          <w:rFonts w:ascii="Verdana" w:hAnsi="Verdana"/>
        </w:rPr>
        <w:t xml:space="preserve">economic development </w:t>
      </w:r>
      <w:r w:rsidR="00CD2F30" w:rsidRPr="00B252A4">
        <w:rPr>
          <w:rFonts w:ascii="Verdana" w:hAnsi="Verdana"/>
        </w:rPr>
        <w:t>strategy</w:t>
      </w:r>
      <w:r w:rsidR="001508B4" w:rsidRPr="00B252A4">
        <w:rPr>
          <w:rFonts w:ascii="Verdana" w:hAnsi="Verdana"/>
        </w:rPr>
        <w:t xml:space="preserve"> has been completed</w:t>
      </w:r>
      <w:r w:rsidR="0076292E">
        <w:rPr>
          <w:rFonts w:ascii="Verdana" w:hAnsi="Verdana"/>
        </w:rPr>
        <w:t xml:space="preserve">, </w:t>
      </w:r>
      <w:r w:rsidR="001508B4" w:rsidRPr="00B252A4">
        <w:rPr>
          <w:rFonts w:ascii="Verdana" w:hAnsi="Verdana"/>
        </w:rPr>
        <w:t>the employment land</w:t>
      </w:r>
      <w:r w:rsidR="00241434" w:rsidRPr="00B252A4">
        <w:rPr>
          <w:rFonts w:ascii="Verdana" w:hAnsi="Verdana"/>
        </w:rPr>
        <w:t xml:space="preserve"> retained </w:t>
      </w:r>
      <w:r w:rsidR="00BD2596">
        <w:rPr>
          <w:rFonts w:ascii="Verdana" w:hAnsi="Verdana"/>
        </w:rPr>
        <w:t xml:space="preserve">by the municipality </w:t>
      </w:r>
      <w:r w:rsidR="00241434" w:rsidRPr="00B252A4">
        <w:rPr>
          <w:rFonts w:ascii="Verdana" w:hAnsi="Verdana"/>
        </w:rPr>
        <w:t xml:space="preserve">exceeds the need to 2041. </w:t>
      </w:r>
      <w:r w:rsidR="001508B4" w:rsidRPr="00B252A4">
        <w:rPr>
          <w:rFonts w:ascii="Verdana" w:hAnsi="Verdana"/>
        </w:rPr>
        <w:t xml:space="preserve"> </w:t>
      </w:r>
    </w:p>
    <w:p w14:paraId="5D6E40EA" w14:textId="77777777" w:rsidR="00CD2F30" w:rsidRPr="00CD2F30" w:rsidRDefault="00CD2F30" w:rsidP="00FE0E96">
      <w:pPr>
        <w:pStyle w:val="ListParagraph"/>
        <w:spacing w:before="120" w:after="120" w:line="240" w:lineRule="auto"/>
        <w:contextualSpacing w:val="0"/>
        <w:rPr>
          <w:rFonts w:ascii="Verdana" w:hAnsi="Verdana"/>
        </w:rPr>
      </w:pPr>
    </w:p>
    <w:p w14:paraId="69BD42F9" w14:textId="77777777" w:rsidR="00CD2F30" w:rsidRPr="00CD2F30" w:rsidRDefault="00CD2F30" w:rsidP="00FE0E96">
      <w:pPr>
        <w:pStyle w:val="ListParagraph"/>
        <w:numPr>
          <w:ilvl w:val="0"/>
          <w:numId w:val="3"/>
        </w:numPr>
        <w:spacing w:before="120" w:after="120" w:line="240" w:lineRule="auto"/>
        <w:contextualSpacing w:val="0"/>
        <w:rPr>
          <w:rFonts w:ascii="Verdana" w:hAnsi="Verdana"/>
        </w:rPr>
      </w:pPr>
      <w:r w:rsidRPr="00CD2F30">
        <w:rPr>
          <w:rFonts w:ascii="Verdana" w:hAnsi="Verdana"/>
          <w:b/>
        </w:rPr>
        <w:t>Agricultural and Natural Heritage System Implementation</w:t>
      </w:r>
    </w:p>
    <w:p w14:paraId="1CBF2EDD" w14:textId="77777777" w:rsidR="00CD2F30" w:rsidRPr="00CD2F30" w:rsidRDefault="00CD2F30" w:rsidP="00FE0E96">
      <w:pPr>
        <w:pStyle w:val="ListParagraph"/>
        <w:spacing w:before="120" w:after="120" w:line="240" w:lineRule="auto"/>
        <w:ind w:left="360"/>
        <w:contextualSpacing w:val="0"/>
        <w:rPr>
          <w:rFonts w:ascii="Verdana" w:hAnsi="Verdana"/>
        </w:rPr>
      </w:pPr>
    </w:p>
    <w:p w14:paraId="6D75970B" w14:textId="77777777" w:rsidR="00CD2F30" w:rsidRPr="00CD2F30" w:rsidRDefault="00CD2F30" w:rsidP="00CD2F30">
      <w:pPr>
        <w:pStyle w:val="ListParagraph"/>
        <w:spacing w:after="0" w:line="240" w:lineRule="auto"/>
        <w:ind w:left="360"/>
        <w:rPr>
          <w:rFonts w:ascii="Verdana" w:hAnsi="Verdana"/>
        </w:rPr>
      </w:pPr>
      <w:r w:rsidRPr="00CD2F30">
        <w:rPr>
          <w:rFonts w:ascii="Verdana" w:hAnsi="Verdana"/>
          <w:b/>
        </w:rPr>
        <w:t xml:space="preserve">2.1 Natural Heritage System Implementation </w:t>
      </w:r>
    </w:p>
    <w:p w14:paraId="53307B21" w14:textId="77777777" w:rsidR="00CD2F30" w:rsidRPr="00CD2F30" w:rsidRDefault="00CD2F30" w:rsidP="00CD2F30">
      <w:pPr>
        <w:rPr>
          <w:rFonts w:ascii="Verdana" w:eastAsia="Times New Roman" w:hAnsi="Verdana"/>
          <w:sz w:val="22"/>
          <w:szCs w:val="22"/>
        </w:rPr>
      </w:pPr>
      <w:r w:rsidRPr="00CD2F30">
        <w:rPr>
          <w:rFonts w:ascii="Verdana" w:hAnsi="Verdana"/>
          <w:sz w:val="22"/>
          <w:szCs w:val="22"/>
        </w:rPr>
        <w:t xml:space="preserve">Mapping a natural heritage system provides clarity and reduces duplication between various levels of government. The current piecemeal approach to natural heritage protection is not working.  Between 2000 and 2011, we lost 6152 hectares of wetlands in southern Ontario. Wetlands are valuable; </w:t>
      </w:r>
      <w:r w:rsidRPr="00CD2F30">
        <w:rPr>
          <w:rFonts w:ascii="Verdana" w:eastAsia="Times New Roman" w:hAnsi="Verdana"/>
          <w:sz w:val="22"/>
          <w:szCs w:val="22"/>
        </w:rPr>
        <w:t xml:space="preserve">they can reduce the financial costs of floods by up to 38 per cent and provide water and nutrient filtration services as well as critical wildlife habitat and recreational opportunities.  </w:t>
      </w:r>
    </w:p>
    <w:p w14:paraId="05F07DD4" w14:textId="77777777" w:rsidR="00CD2F30" w:rsidRPr="00CD2F30" w:rsidRDefault="00CD2F30" w:rsidP="00CD2F30">
      <w:pPr>
        <w:rPr>
          <w:rFonts w:ascii="Verdana" w:hAnsi="Verdana"/>
          <w:sz w:val="22"/>
          <w:szCs w:val="22"/>
        </w:rPr>
      </w:pPr>
    </w:p>
    <w:p w14:paraId="7617E383" w14:textId="77777777" w:rsidR="00CD2F30" w:rsidRDefault="00CD2F30" w:rsidP="00CD2F30">
      <w:pPr>
        <w:rPr>
          <w:rFonts w:ascii="Verdana" w:hAnsi="Verdana"/>
          <w:sz w:val="22"/>
          <w:szCs w:val="22"/>
        </w:rPr>
      </w:pPr>
      <w:r w:rsidRPr="00CD2F30">
        <w:rPr>
          <w:rFonts w:ascii="Verdana" w:hAnsi="Verdana"/>
          <w:b/>
          <w:sz w:val="22"/>
          <w:szCs w:val="22"/>
        </w:rPr>
        <w:t>Recommendation</w:t>
      </w:r>
      <w:r w:rsidRPr="00CD2F30">
        <w:rPr>
          <w:rFonts w:ascii="Verdana" w:hAnsi="Verdana"/>
          <w:sz w:val="22"/>
          <w:szCs w:val="22"/>
        </w:rPr>
        <w:t>:</w:t>
      </w:r>
    </w:p>
    <w:p w14:paraId="0D800CF5" w14:textId="77777777" w:rsidR="00CD2F30" w:rsidRDefault="00CD2F30" w:rsidP="00CD2F30">
      <w:pPr>
        <w:rPr>
          <w:rFonts w:ascii="Verdana" w:hAnsi="Verdana"/>
          <w:sz w:val="22"/>
          <w:szCs w:val="22"/>
        </w:rPr>
      </w:pPr>
    </w:p>
    <w:p w14:paraId="047DC9EE" w14:textId="77777777" w:rsidR="00CD2F30" w:rsidRDefault="00CD2F30" w:rsidP="00CD2F30">
      <w:pPr>
        <w:rPr>
          <w:rFonts w:ascii="Verdana" w:hAnsi="Verdana"/>
          <w:sz w:val="22"/>
          <w:szCs w:val="22"/>
        </w:rPr>
      </w:pPr>
      <w:r w:rsidRPr="00CD2F30">
        <w:rPr>
          <w:rFonts w:ascii="Verdana" w:hAnsi="Verdana"/>
          <w:sz w:val="22"/>
          <w:szCs w:val="22"/>
        </w:rPr>
        <w:lastRenderedPageBreak/>
        <w:t>We urge the province to use recently completed Ministry of the Natural Resources and Forestry mapping as a baseline and incorporate more refined conservation authority mapping if it is available and can be shown to more accurately characterize the mapped features or functions.</w:t>
      </w:r>
    </w:p>
    <w:p w14:paraId="68B86867" w14:textId="77777777" w:rsidR="00CD2F30" w:rsidRPr="00CD2F30" w:rsidRDefault="00CD2F30" w:rsidP="00FE0E96">
      <w:pPr>
        <w:spacing w:before="120" w:after="120"/>
        <w:rPr>
          <w:rFonts w:ascii="Verdana" w:hAnsi="Verdana"/>
          <w:sz w:val="22"/>
          <w:szCs w:val="22"/>
        </w:rPr>
      </w:pPr>
    </w:p>
    <w:p w14:paraId="058A396C" w14:textId="77777777" w:rsidR="003E21C7" w:rsidRDefault="003E21C7" w:rsidP="00FE0E96">
      <w:pPr>
        <w:pStyle w:val="ListParagraph"/>
        <w:numPr>
          <w:ilvl w:val="1"/>
          <w:numId w:val="3"/>
        </w:numPr>
        <w:spacing w:before="120" w:after="120"/>
        <w:contextualSpacing w:val="0"/>
        <w:rPr>
          <w:rFonts w:ascii="Verdana" w:hAnsi="Verdana"/>
        </w:rPr>
      </w:pPr>
      <w:r>
        <w:rPr>
          <w:rFonts w:ascii="Verdana" w:hAnsi="Verdana"/>
        </w:rPr>
        <w:t xml:space="preserve">Expand the Greenbelt throughout the provincial agricultural areas and natural heritage systems. </w:t>
      </w:r>
    </w:p>
    <w:p w14:paraId="22C99D55" w14:textId="77777777" w:rsidR="00CD2F30" w:rsidRDefault="00CD2F30" w:rsidP="00FE0E96">
      <w:pPr>
        <w:pStyle w:val="ListParagraph"/>
        <w:numPr>
          <w:ilvl w:val="1"/>
          <w:numId w:val="3"/>
        </w:numPr>
        <w:spacing w:before="120" w:after="120" w:line="240" w:lineRule="auto"/>
        <w:contextualSpacing w:val="0"/>
        <w:rPr>
          <w:rFonts w:ascii="Verdana" w:hAnsi="Verdana"/>
        </w:rPr>
      </w:pPr>
      <w:r w:rsidRPr="00CD2F30">
        <w:rPr>
          <w:rFonts w:ascii="Verdana" w:hAnsi="Verdana"/>
        </w:rPr>
        <w:t xml:space="preserve">The province needs to lead on this file including developing a joint comparison/evaluative process with municipal and conservation authority mapping data. </w:t>
      </w:r>
    </w:p>
    <w:p w14:paraId="2BA58917" w14:textId="77777777" w:rsidR="005501D5" w:rsidRDefault="005501D5" w:rsidP="00FE0E96">
      <w:pPr>
        <w:pStyle w:val="ListParagraph"/>
        <w:numPr>
          <w:ilvl w:val="1"/>
          <w:numId w:val="3"/>
        </w:numPr>
        <w:spacing w:before="120" w:after="120" w:line="240" w:lineRule="auto"/>
        <w:contextualSpacing w:val="0"/>
        <w:rPr>
          <w:rFonts w:ascii="Verdana" w:hAnsi="Verdana"/>
        </w:rPr>
      </w:pPr>
      <w:r>
        <w:rPr>
          <w:rFonts w:ascii="Verdana" w:hAnsi="Verdana"/>
        </w:rPr>
        <w:t xml:space="preserve">Where there is a conflict in mapping the more restrictive mapping should apply or a NHS evaluation should take place. </w:t>
      </w:r>
    </w:p>
    <w:p w14:paraId="08890E93" w14:textId="77777777" w:rsidR="00236415" w:rsidRDefault="005501D5" w:rsidP="00FE0E96">
      <w:pPr>
        <w:pStyle w:val="ListParagraph"/>
        <w:numPr>
          <w:ilvl w:val="1"/>
          <w:numId w:val="3"/>
        </w:numPr>
        <w:spacing w:before="120" w:after="120" w:line="240" w:lineRule="auto"/>
        <w:contextualSpacing w:val="0"/>
        <w:rPr>
          <w:rFonts w:ascii="Verdana" w:hAnsi="Verdana"/>
        </w:rPr>
      </w:pPr>
      <w:r w:rsidRPr="005501D5">
        <w:rPr>
          <w:rFonts w:ascii="Verdana" w:hAnsi="Verdana"/>
        </w:rPr>
        <w:t xml:space="preserve">Natural Heritage mapping must be applied consistently across the Greater Golden Horseshoe, including whitebelt lands. </w:t>
      </w:r>
    </w:p>
    <w:p w14:paraId="0D00E15E" w14:textId="77777777" w:rsidR="005501D5" w:rsidRPr="005501D5" w:rsidRDefault="005501D5" w:rsidP="005501D5">
      <w:pPr>
        <w:rPr>
          <w:rFonts w:ascii="Verdana" w:hAnsi="Verdana"/>
        </w:rPr>
      </w:pPr>
    </w:p>
    <w:p w14:paraId="75D27CF5" w14:textId="77777777" w:rsidR="00CD2F30" w:rsidRDefault="00CD2F30" w:rsidP="00CD2F30">
      <w:pPr>
        <w:ind w:firstLine="426"/>
        <w:rPr>
          <w:rFonts w:ascii="Verdana" w:hAnsi="Verdana"/>
          <w:sz w:val="22"/>
          <w:szCs w:val="22"/>
        </w:rPr>
      </w:pPr>
      <w:r w:rsidRPr="00CD2F30">
        <w:rPr>
          <w:rFonts w:ascii="Verdana" w:hAnsi="Verdana"/>
          <w:b/>
          <w:sz w:val="22"/>
          <w:szCs w:val="22"/>
        </w:rPr>
        <w:t>2.2 Agricultural System Implementation</w:t>
      </w:r>
      <w:r w:rsidRPr="00CD2F30">
        <w:rPr>
          <w:rFonts w:ascii="Verdana" w:hAnsi="Verdana"/>
          <w:sz w:val="22"/>
          <w:szCs w:val="22"/>
        </w:rPr>
        <w:t xml:space="preserve"> </w:t>
      </w:r>
    </w:p>
    <w:p w14:paraId="2710AA7B" w14:textId="77777777" w:rsidR="00CD2F30" w:rsidRPr="00CD2F30" w:rsidRDefault="00CD2F30" w:rsidP="00CD2F30">
      <w:pPr>
        <w:ind w:firstLine="426"/>
        <w:rPr>
          <w:rFonts w:ascii="Verdana" w:hAnsi="Verdana"/>
          <w:sz w:val="22"/>
          <w:szCs w:val="22"/>
        </w:rPr>
      </w:pPr>
    </w:p>
    <w:p w14:paraId="456904AE" w14:textId="77777777" w:rsidR="00CD2F30" w:rsidRDefault="00CD2F30" w:rsidP="00CD2F30">
      <w:pPr>
        <w:rPr>
          <w:rFonts w:ascii="Verdana" w:hAnsi="Verdana"/>
          <w:sz w:val="22"/>
          <w:szCs w:val="22"/>
        </w:rPr>
      </w:pPr>
      <w:r w:rsidRPr="00CD2F30">
        <w:rPr>
          <w:rFonts w:ascii="Verdana" w:hAnsi="Verdana"/>
          <w:sz w:val="22"/>
          <w:szCs w:val="22"/>
        </w:rPr>
        <w:t xml:space="preserve">Between 2011 and 2016 Ontario lost 319,700 acres of productive agricultural land (175 acres per day). Not only is this loss unsustainable from a food security perspective but it symptomatic of an unaffordable pattern of urban growth. </w:t>
      </w:r>
      <w:r w:rsidR="00BD2596" w:rsidRPr="00AE2FB6">
        <w:rPr>
          <w:rFonts w:ascii="Verdana" w:hAnsi="Verdana"/>
          <w:sz w:val="22"/>
          <w:szCs w:val="22"/>
        </w:rPr>
        <w:t>Allowing boundary expansions of towns and cities paves over productive farmland.</w:t>
      </w:r>
    </w:p>
    <w:p w14:paraId="68E55270" w14:textId="77777777" w:rsidR="00CD2F30" w:rsidRPr="00CD2F30" w:rsidRDefault="00CD2F30" w:rsidP="00CD2F30">
      <w:pPr>
        <w:rPr>
          <w:rFonts w:ascii="Verdana" w:hAnsi="Verdana"/>
          <w:sz w:val="22"/>
          <w:szCs w:val="22"/>
        </w:rPr>
      </w:pPr>
    </w:p>
    <w:p w14:paraId="40987A9D" w14:textId="77777777" w:rsidR="00CD2F30" w:rsidRDefault="00CD2F30" w:rsidP="00CD2F30">
      <w:pPr>
        <w:rPr>
          <w:rFonts w:ascii="Verdana" w:hAnsi="Verdana"/>
          <w:b/>
          <w:sz w:val="22"/>
          <w:szCs w:val="22"/>
        </w:rPr>
      </w:pPr>
      <w:r w:rsidRPr="00CD2F30">
        <w:rPr>
          <w:rFonts w:ascii="Verdana" w:hAnsi="Verdana"/>
          <w:b/>
          <w:sz w:val="22"/>
          <w:szCs w:val="22"/>
        </w:rPr>
        <w:t xml:space="preserve">Recommendation: </w:t>
      </w:r>
    </w:p>
    <w:p w14:paraId="34A4B067" w14:textId="77777777" w:rsidR="00CD2F30" w:rsidRPr="00CD2F30" w:rsidRDefault="00CD2F30" w:rsidP="00CD2F30">
      <w:pPr>
        <w:rPr>
          <w:rFonts w:ascii="Verdana" w:hAnsi="Verdana"/>
          <w:b/>
          <w:sz w:val="22"/>
          <w:szCs w:val="22"/>
        </w:rPr>
      </w:pPr>
    </w:p>
    <w:p w14:paraId="2D103151" w14:textId="77777777" w:rsidR="00891F37" w:rsidRPr="00891F37" w:rsidRDefault="00891F37" w:rsidP="00FE0E96">
      <w:pPr>
        <w:pStyle w:val="ListParagraph"/>
        <w:numPr>
          <w:ilvl w:val="0"/>
          <w:numId w:val="7"/>
        </w:numPr>
        <w:spacing w:before="120" w:after="120" w:line="240" w:lineRule="auto"/>
        <w:ind w:left="714" w:hanging="357"/>
        <w:contextualSpacing w:val="0"/>
        <w:rPr>
          <w:rFonts w:ascii="Verdana" w:hAnsi="Verdana"/>
        </w:rPr>
      </w:pPr>
      <w:r w:rsidRPr="00891F37">
        <w:rPr>
          <w:rFonts w:ascii="Verdana" w:hAnsi="Verdana"/>
        </w:rPr>
        <w:t xml:space="preserve">Support the </w:t>
      </w:r>
      <w:r>
        <w:rPr>
          <w:rFonts w:ascii="Verdana" w:hAnsi="Verdana"/>
        </w:rPr>
        <w:t xml:space="preserve">provincial </w:t>
      </w:r>
      <w:r w:rsidRPr="00891F37">
        <w:rPr>
          <w:rFonts w:ascii="Verdana" w:hAnsi="Verdana"/>
        </w:rPr>
        <w:t>Agricultural System to consistently protect farmland across the Greater Golden Horseshoe</w:t>
      </w:r>
      <w:r>
        <w:rPr>
          <w:rFonts w:ascii="Verdana" w:hAnsi="Verdana"/>
        </w:rPr>
        <w:t>. Farming is a business and the agri</w:t>
      </w:r>
      <w:r w:rsidR="00FF21A2">
        <w:rPr>
          <w:rFonts w:ascii="Verdana" w:hAnsi="Verdana"/>
        </w:rPr>
        <w:t>-</w:t>
      </w:r>
      <w:r>
        <w:rPr>
          <w:rFonts w:ascii="Verdana" w:hAnsi="Verdana"/>
        </w:rPr>
        <w:t xml:space="preserve"> food sector </w:t>
      </w:r>
      <w:r w:rsidR="00BD2596">
        <w:rPr>
          <w:rFonts w:ascii="Verdana" w:hAnsi="Verdana"/>
        </w:rPr>
        <w:t>is</w:t>
      </w:r>
      <w:r>
        <w:rPr>
          <w:rFonts w:ascii="Verdana" w:hAnsi="Verdana"/>
        </w:rPr>
        <w:t xml:space="preserve"> </w:t>
      </w:r>
      <w:r w:rsidR="00FF21A2">
        <w:rPr>
          <w:rFonts w:ascii="Verdana" w:hAnsi="Verdana"/>
        </w:rPr>
        <w:t xml:space="preserve">a key economic sector in Ontario. </w:t>
      </w:r>
    </w:p>
    <w:p w14:paraId="6140B85B" w14:textId="77777777" w:rsidR="00CD2F30" w:rsidRPr="00CD2F30" w:rsidRDefault="005501D5" w:rsidP="00FE0E96">
      <w:pPr>
        <w:pStyle w:val="ListParagraph"/>
        <w:numPr>
          <w:ilvl w:val="0"/>
          <w:numId w:val="7"/>
        </w:numPr>
        <w:spacing w:before="120" w:after="120" w:line="240" w:lineRule="auto"/>
        <w:contextualSpacing w:val="0"/>
        <w:rPr>
          <w:rFonts w:ascii="Verdana" w:hAnsi="Verdana"/>
        </w:rPr>
      </w:pPr>
      <w:r>
        <w:rPr>
          <w:rFonts w:ascii="Verdana" w:hAnsi="Verdana"/>
        </w:rPr>
        <w:t>M</w:t>
      </w:r>
      <w:r w:rsidR="00CD2F30" w:rsidRPr="00CD2F30">
        <w:rPr>
          <w:rFonts w:ascii="Verdana" w:hAnsi="Verdana"/>
        </w:rPr>
        <w:t>aintain fixed urban boundaries for existing urban</w:t>
      </w:r>
      <w:r w:rsidR="003E21C7">
        <w:rPr>
          <w:rFonts w:ascii="Verdana" w:hAnsi="Verdana"/>
        </w:rPr>
        <w:t xml:space="preserve"> and rural</w:t>
      </w:r>
      <w:r w:rsidR="00CD2F30" w:rsidRPr="00CD2F30">
        <w:rPr>
          <w:rFonts w:ascii="Verdana" w:hAnsi="Verdana"/>
        </w:rPr>
        <w:t xml:space="preserve"> settlement areas throughout the GGH. Create permanent growth boundaries where mapping shows a healthy agricultural system or natural heritage feature. </w:t>
      </w:r>
    </w:p>
    <w:p w14:paraId="0AED634A" w14:textId="77777777" w:rsidR="00CD2F30" w:rsidRPr="00CD2F30" w:rsidRDefault="00CD2F30" w:rsidP="00FE0E96">
      <w:pPr>
        <w:pStyle w:val="ListParagraph"/>
        <w:numPr>
          <w:ilvl w:val="0"/>
          <w:numId w:val="7"/>
        </w:numPr>
        <w:spacing w:before="120" w:after="120" w:line="240" w:lineRule="auto"/>
        <w:contextualSpacing w:val="0"/>
        <w:rPr>
          <w:rFonts w:ascii="Verdana" w:hAnsi="Verdana"/>
        </w:rPr>
      </w:pPr>
      <w:r w:rsidRPr="00CD2F30">
        <w:rPr>
          <w:rFonts w:ascii="Verdana" w:hAnsi="Verdana"/>
        </w:rPr>
        <w:t xml:space="preserve">Ensure </w:t>
      </w:r>
      <w:r w:rsidR="00FF21A2">
        <w:rPr>
          <w:rFonts w:ascii="Verdana" w:hAnsi="Verdana"/>
        </w:rPr>
        <w:t xml:space="preserve">municipal </w:t>
      </w:r>
      <w:r w:rsidRPr="00CD2F30">
        <w:rPr>
          <w:rFonts w:ascii="Verdana" w:hAnsi="Verdana"/>
        </w:rPr>
        <w:t>zoning of prime agricultural land is consistent with Provincial agricultural system mapping.</w:t>
      </w:r>
    </w:p>
    <w:p w14:paraId="5006B465" w14:textId="77777777" w:rsidR="00CD2F30" w:rsidRPr="00CD2F30" w:rsidRDefault="00CD2F30" w:rsidP="00FE0E96">
      <w:pPr>
        <w:pStyle w:val="ListParagraph"/>
        <w:numPr>
          <w:ilvl w:val="0"/>
          <w:numId w:val="7"/>
        </w:numPr>
        <w:spacing w:before="120" w:after="120" w:line="240" w:lineRule="auto"/>
        <w:contextualSpacing w:val="0"/>
        <w:rPr>
          <w:rFonts w:ascii="Verdana" w:hAnsi="Verdana"/>
        </w:rPr>
      </w:pPr>
      <w:r w:rsidRPr="00CD2F30">
        <w:rPr>
          <w:rFonts w:ascii="Verdana" w:hAnsi="Verdana"/>
        </w:rPr>
        <w:t>Land swaps</w:t>
      </w:r>
      <w:r w:rsidR="00FF21A2">
        <w:rPr>
          <w:rFonts w:ascii="Verdana" w:hAnsi="Verdana"/>
        </w:rPr>
        <w:t xml:space="preserve"> of </w:t>
      </w:r>
      <w:r w:rsidRPr="00CD2F30">
        <w:rPr>
          <w:rFonts w:ascii="Verdana" w:hAnsi="Verdana"/>
        </w:rPr>
        <w:t>Greenbelt</w:t>
      </w:r>
      <w:r w:rsidR="00FF21A2">
        <w:rPr>
          <w:rFonts w:ascii="Verdana" w:hAnsi="Verdana"/>
        </w:rPr>
        <w:t xml:space="preserve"> land</w:t>
      </w:r>
      <w:r w:rsidRPr="00CD2F30">
        <w:rPr>
          <w:rFonts w:ascii="Verdana" w:hAnsi="Verdana"/>
        </w:rPr>
        <w:t xml:space="preserve"> are not acceptable. The Greenbelt permanently protects land. Opening lands in the Greenbelt for development would signal the end of the Greenbelt Plan to millions of Ontarians. </w:t>
      </w:r>
    </w:p>
    <w:p w14:paraId="2C436E78" w14:textId="77777777" w:rsidR="00CD2F30" w:rsidRPr="00CD2F30" w:rsidRDefault="00CD2F30" w:rsidP="00CD2F30">
      <w:pPr>
        <w:pStyle w:val="ListParagraph"/>
        <w:spacing w:after="0" w:line="240" w:lineRule="auto"/>
        <w:ind w:left="1440"/>
        <w:rPr>
          <w:rFonts w:ascii="Verdana" w:hAnsi="Verdana"/>
        </w:rPr>
      </w:pPr>
    </w:p>
    <w:p w14:paraId="31F1BB06" w14:textId="77777777" w:rsidR="00CD2F30" w:rsidRDefault="00CD2F30" w:rsidP="00CD2F30">
      <w:pPr>
        <w:pStyle w:val="ListParagraph"/>
        <w:numPr>
          <w:ilvl w:val="0"/>
          <w:numId w:val="3"/>
        </w:numPr>
        <w:spacing w:after="0" w:line="240" w:lineRule="auto"/>
        <w:rPr>
          <w:rFonts w:ascii="Verdana" w:hAnsi="Verdana"/>
          <w:b/>
        </w:rPr>
      </w:pPr>
      <w:r w:rsidRPr="00CD2F30">
        <w:rPr>
          <w:rFonts w:ascii="Verdana" w:hAnsi="Verdana"/>
          <w:b/>
        </w:rPr>
        <w:t>Major Transit Station Areas</w:t>
      </w:r>
    </w:p>
    <w:p w14:paraId="21A0AF52" w14:textId="77777777" w:rsidR="00CD2F30" w:rsidRPr="00CD2F30" w:rsidRDefault="00CD2F30" w:rsidP="00CD2F30">
      <w:pPr>
        <w:pStyle w:val="ListParagraph"/>
        <w:spacing w:after="0" w:line="240" w:lineRule="auto"/>
        <w:ind w:left="360"/>
        <w:rPr>
          <w:rFonts w:ascii="Verdana" w:hAnsi="Verdana"/>
          <w:b/>
        </w:rPr>
      </w:pPr>
    </w:p>
    <w:p w14:paraId="73E5897B" w14:textId="6E5A5A37" w:rsidR="00696506" w:rsidRPr="00410D65" w:rsidRDefault="00CD2F30" w:rsidP="00696506">
      <w:pPr>
        <w:rPr>
          <w:rFonts w:ascii="Verdana" w:hAnsi="Verdana"/>
          <w:sz w:val="22"/>
          <w:szCs w:val="22"/>
        </w:rPr>
      </w:pPr>
      <w:r w:rsidRPr="00410D65">
        <w:rPr>
          <w:rFonts w:ascii="Verdana" w:hAnsi="Verdana"/>
          <w:sz w:val="22"/>
          <w:szCs w:val="22"/>
        </w:rPr>
        <w:t xml:space="preserve">Transit and growth should be integrated to support transit that connects urban growth centres. This will relieve congestion for citizens and goods moving throughout the Greater Golden Horseshoe and within urban growth centres. </w:t>
      </w:r>
      <w:r w:rsidR="00697F32" w:rsidRPr="00410D65">
        <w:rPr>
          <w:rFonts w:ascii="Verdana" w:hAnsi="Verdana"/>
          <w:sz w:val="22"/>
          <w:szCs w:val="22"/>
        </w:rPr>
        <w:t xml:space="preserve">A 2014 Ministry of Health study estimated that 154 premature deaths and health benefits valued at $1 billion per year could be achieved by implementing the Big Move regional transit plan. </w:t>
      </w:r>
    </w:p>
    <w:p w14:paraId="2C72A3F9" w14:textId="77777777" w:rsidR="00CD2F30" w:rsidRPr="00697F32" w:rsidRDefault="00CD2F30" w:rsidP="00CD2F30">
      <w:pPr>
        <w:pStyle w:val="ListParagraph"/>
        <w:spacing w:after="0" w:line="240" w:lineRule="auto"/>
        <w:ind w:left="0"/>
        <w:rPr>
          <w:rFonts w:ascii="Verdana" w:hAnsi="Verdana"/>
        </w:rPr>
      </w:pPr>
    </w:p>
    <w:p w14:paraId="4509505D" w14:textId="77777777" w:rsidR="00CD2F30" w:rsidRPr="00CD2F30" w:rsidRDefault="00CD2F30" w:rsidP="00CD2F30">
      <w:pPr>
        <w:pStyle w:val="ListParagraph"/>
        <w:spacing w:after="0" w:line="240" w:lineRule="auto"/>
        <w:ind w:left="0"/>
        <w:rPr>
          <w:rFonts w:ascii="Verdana" w:hAnsi="Verdana"/>
        </w:rPr>
      </w:pPr>
    </w:p>
    <w:p w14:paraId="115CCF83" w14:textId="77777777" w:rsidR="00CD2F30" w:rsidRDefault="00CD2F30" w:rsidP="00CD2F30">
      <w:pPr>
        <w:rPr>
          <w:rFonts w:ascii="Verdana" w:hAnsi="Verdana"/>
          <w:b/>
          <w:sz w:val="22"/>
          <w:szCs w:val="22"/>
        </w:rPr>
      </w:pPr>
      <w:r>
        <w:rPr>
          <w:rFonts w:ascii="Verdana" w:hAnsi="Verdana"/>
          <w:b/>
          <w:sz w:val="22"/>
          <w:szCs w:val="22"/>
        </w:rPr>
        <w:lastRenderedPageBreak/>
        <w:t>Recommendation:</w:t>
      </w:r>
    </w:p>
    <w:p w14:paraId="30919242" w14:textId="77777777" w:rsidR="00CD2F30" w:rsidRPr="00CD2F30" w:rsidRDefault="00CD2F30" w:rsidP="00CD2F30">
      <w:pPr>
        <w:rPr>
          <w:rFonts w:ascii="Verdana" w:hAnsi="Verdana"/>
          <w:b/>
          <w:sz w:val="22"/>
          <w:szCs w:val="22"/>
        </w:rPr>
      </w:pPr>
    </w:p>
    <w:p w14:paraId="5BA4B442" w14:textId="77777777" w:rsidR="00CD2F30" w:rsidRDefault="00CD2F30" w:rsidP="00CD2F30">
      <w:pPr>
        <w:rPr>
          <w:rFonts w:ascii="Verdana" w:hAnsi="Verdana"/>
          <w:sz w:val="22"/>
          <w:szCs w:val="22"/>
        </w:rPr>
      </w:pPr>
      <w:r w:rsidRPr="00CD2F30">
        <w:rPr>
          <w:rFonts w:ascii="Verdana" w:hAnsi="Verdana"/>
          <w:sz w:val="22"/>
          <w:szCs w:val="22"/>
        </w:rPr>
        <w:t>Ensure density and transit are complementary</w:t>
      </w:r>
      <w:r w:rsidR="00BD2596">
        <w:rPr>
          <w:rFonts w:ascii="Verdana" w:hAnsi="Verdana"/>
          <w:sz w:val="22"/>
          <w:szCs w:val="22"/>
        </w:rPr>
        <w:t xml:space="preserve"> and integrated</w:t>
      </w:r>
      <w:r w:rsidRPr="00CD2F30">
        <w:rPr>
          <w:rFonts w:ascii="Verdana" w:hAnsi="Verdana"/>
          <w:sz w:val="22"/>
          <w:szCs w:val="22"/>
        </w:rPr>
        <w:t xml:space="preserve"> (subways, 200 pp/ha., light rail transit 1</w:t>
      </w:r>
      <w:r w:rsidR="00E3673D">
        <w:rPr>
          <w:rFonts w:ascii="Verdana" w:hAnsi="Verdana"/>
          <w:sz w:val="22"/>
          <w:szCs w:val="22"/>
        </w:rPr>
        <w:t>60 pp/ha., Go trains 150 pp/ha</w:t>
      </w:r>
      <w:r w:rsidR="00DF1427">
        <w:rPr>
          <w:rFonts w:ascii="Verdana" w:hAnsi="Verdana"/>
          <w:sz w:val="22"/>
          <w:szCs w:val="22"/>
        </w:rPr>
        <w:t>, 80pj/ha buses 10-15 minutes</w:t>
      </w:r>
      <w:r w:rsidR="001451D2">
        <w:rPr>
          <w:rFonts w:ascii="Verdana" w:hAnsi="Verdana"/>
          <w:sz w:val="22"/>
          <w:szCs w:val="22"/>
        </w:rPr>
        <w:t>)</w:t>
      </w:r>
      <w:r w:rsidR="00E3673D">
        <w:rPr>
          <w:rFonts w:ascii="Verdana" w:hAnsi="Verdana"/>
          <w:sz w:val="22"/>
          <w:szCs w:val="22"/>
        </w:rPr>
        <w:t>.</w:t>
      </w:r>
      <w:r w:rsidR="00FF21A2">
        <w:rPr>
          <w:rFonts w:ascii="Verdana" w:hAnsi="Verdana"/>
          <w:sz w:val="22"/>
          <w:szCs w:val="22"/>
        </w:rPr>
        <w:t xml:space="preserve"> Lower densities of </w:t>
      </w:r>
      <w:r w:rsidRPr="00CD2F30">
        <w:rPr>
          <w:rFonts w:ascii="Verdana" w:hAnsi="Verdana"/>
          <w:sz w:val="22"/>
          <w:szCs w:val="22"/>
        </w:rPr>
        <w:t>50 pp/h</w:t>
      </w:r>
      <w:r w:rsidR="00DF1427">
        <w:rPr>
          <w:rFonts w:ascii="Verdana" w:hAnsi="Verdana"/>
          <w:sz w:val="22"/>
          <w:szCs w:val="22"/>
        </w:rPr>
        <w:t>a make regular transit unsustainable</w:t>
      </w:r>
      <w:r w:rsidRPr="00CD2F30">
        <w:rPr>
          <w:rFonts w:ascii="Verdana" w:hAnsi="Verdana"/>
          <w:sz w:val="22"/>
          <w:szCs w:val="22"/>
        </w:rPr>
        <w:t xml:space="preserve">. </w:t>
      </w:r>
    </w:p>
    <w:p w14:paraId="58A4305A" w14:textId="77777777" w:rsidR="00FF21A2" w:rsidRPr="00CD2F30" w:rsidRDefault="00FF21A2" w:rsidP="00CD2F30">
      <w:pPr>
        <w:rPr>
          <w:rFonts w:ascii="Verdana" w:hAnsi="Verdana"/>
          <w:b/>
          <w:sz w:val="22"/>
          <w:szCs w:val="22"/>
        </w:rPr>
      </w:pPr>
    </w:p>
    <w:p w14:paraId="2DDFC783" w14:textId="77777777" w:rsidR="00CD2F30" w:rsidRPr="00CD2F30" w:rsidRDefault="00CD2F30" w:rsidP="00FE0E96">
      <w:pPr>
        <w:pStyle w:val="ListParagraph"/>
        <w:numPr>
          <w:ilvl w:val="0"/>
          <w:numId w:val="2"/>
        </w:numPr>
        <w:spacing w:before="120" w:after="120" w:line="240" w:lineRule="auto"/>
        <w:ind w:left="709"/>
        <w:contextualSpacing w:val="0"/>
        <w:rPr>
          <w:rFonts w:ascii="Verdana" w:hAnsi="Verdana"/>
          <w:b/>
        </w:rPr>
      </w:pPr>
      <w:r w:rsidRPr="00CD2F30">
        <w:rPr>
          <w:rFonts w:ascii="Verdana" w:hAnsi="Verdana"/>
        </w:rPr>
        <w:t>Maintain existing density targets for mobility hubs</w:t>
      </w:r>
      <w:r w:rsidR="00E3673D">
        <w:rPr>
          <w:rFonts w:ascii="Verdana" w:hAnsi="Verdana"/>
        </w:rPr>
        <w:t xml:space="preserve"> within urban growth centres</w:t>
      </w:r>
      <w:r w:rsidRPr="00CD2F30">
        <w:rPr>
          <w:rFonts w:ascii="Verdana" w:hAnsi="Verdana"/>
        </w:rPr>
        <w:t xml:space="preserve">. </w:t>
      </w:r>
    </w:p>
    <w:p w14:paraId="7CF5A5C2" w14:textId="77777777" w:rsidR="00CD2F30" w:rsidRPr="00CD2F30" w:rsidRDefault="00CD2F30" w:rsidP="00FE0E96">
      <w:pPr>
        <w:pStyle w:val="ListParagraph"/>
        <w:numPr>
          <w:ilvl w:val="0"/>
          <w:numId w:val="2"/>
        </w:numPr>
        <w:spacing w:before="120" w:after="120" w:line="240" w:lineRule="auto"/>
        <w:ind w:left="709"/>
        <w:contextualSpacing w:val="0"/>
        <w:rPr>
          <w:rFonts w:ascii="Verdana" w:hAnsi="Verdana"/>
          <w:b/>
        </w:rPr>
      </w:pPr>
      <w:r w:rsidRPr="00CD2F30">
        <w:rPr>
          <w:rFonts w:ascii="Verdana" w:hAnsi="Verdana"/>
        </w:rPr>
        <w:t xml:space="preserve">Rezone lands around </w:t>
      </w:r>
      <w:r w:rsidR="00E3673D">
        <w:rPr>
          <w:rFonts w:ascii="Verdana" w:hAnsi="Verdana"/>
        </w:rPr>
        <w:t xml:space="preserve">existing </w:t>
      </w:r>
      <w:r w:rsidRPr="00CD2F30">
        <w:rPr>
          <w:rFonts w:ascii="Verdana" w:hAnsi="Verdana"/>
        </w:rPr>
        <w:t>mobility hubs</w:t>
      </w:r>
      <w:r w:rsidR="003E21C7">
        <w:rPr>
          <w:rFonts w:ascii="Verdana" w:hAnsi="Verdana"/>
        </w:rPr>
        <w:t xml:space="preserve"> </w:t>
      </w:r>
      <w:r w:rsidR="00E3673D">
        <w:rPr>
          <w:rFonts w:ascii="Verdana" w:hAnsi="Verdana"/>
        </w:rPr>
        <w:t>(Metrolinx Plan)</w:t>
      </w:r>
      <w:r w:rsidRPr="00CD2F30">
        <w:rPr>
          <w:rFonts w:ascii="Verdana" w:hAnsi="Verdana"/>
        </w:rPr>
        <w:t xml:space="preserve"> to support transit oriented development while reducing congestion (include a mix of more affordable housing including rental, mid-rise and low- rise).</w:t>
      </w:r>
      <w:r w:rsidR="00E3673D">
        <w:rPr>
          <w:rFonts w:ascii="Verdana" w:hAnsi="Verdana"/>
        </w:rPr>
        <w:t xml:space="preserve"> </w:t>
      </w:r>
    </w:p>
    <w:p w14:paraId="76E4F404" w14:textId="77777777" w:rsidR="00CD2F30" w:rsidRPr="00E3673D" w:rsidRDefault="00CD2F30" w:rsidP="00FE0E96">
      <w:pPr>
        <w:pStyle w:val="ListParagraph"/>
        <w:numPr>
          <w:ilvl w:val="0"/>
          <w:numId w:val="2"/>
        </w:numPr>
        <w:spacing w:before="120" w:after="120" w:line="240" w:lineRule="auto"/>
        <w:ind w:left="709"/>
        <w:contextualSpacing w:val="0"/>
        <w:rPr>
          <w:rFonts w:ascii="Verdana" w:hAnsi="Verdana"/>
          <w:b/>
        </w:rPr>
      </w:pPr>
      <w:r w:rsidRPr="00CD2F30">
        <w:rPr>
          <w:rFonts w:ascii="Verdana" w:hAnsi="Verdana"/>
        </w:rPr>
        <w:t>Existing policies already have flexibility i.e. Municipalities can shift density along transit corridor with existing policies.</w:t>
      </w:r>
    </w:p>
    <w:p w14:paraId="48723710" w14:textId="77777777" w:rsidR="00E3673D" w:rsidRPr="00CD2F30" w:rsidRDefault="00E3673D" w:rsidP="00FE0E96">
      <w:pPr>
        <w:pStyle w:val="ListParagraph"/>
        <w:numPr>
          <w:ilvl w:val="0"/>
          <w:numId w:val="2"/>
        </w:numPr>
        <w:spacing w:before="120" w:after="120" w:line="240" w:lineRule="auto"/>
        <w:ind w:left="709"/>
        <w:contextualSpacing w:val="0"/>
        <w:rPr>
          <w:rFonts w:ascii="Verdana" w:hAnsi="Verdana"/>
          <w:b/>
        </w:rPr>
      </w:pPr>
      <w:r>
        <w:rPr>
          <w:rFonts w:ascii="Verdana" w:hAnsi="Verdana"/>
        </w:rPr>
        <w:t>Avoid using transit to direct growth to greenfield areas</w:t>
      </w:r>
      <w:r w:rsidR="003E21C7">
        <w:rPr>
          <w:rFonts w:ascii="Verdana" w:hAnsi="Verdana"/>
        </w:rPr>
        <w:t xml:space="preserve"> or the edge of settlement areas</w:t>
      </w:r>
      <w:r>
        <w:rPr>
          <w:rFonts w:ascii="Verdana" w:hAnsi="Verdana"/>
        </w:rPr>
        <w:t xml:space="preserve">, instead use transit to </w:t>
      </w:r>
      <w:r w:rsidR="003E21C7">
        <w:rPr>
          <w:rFonts w:ascii="Verdana" w:hAnsi="Verdana"/>
        </w:rPr>
        <w:t xml:space="preserve">revitalize downtowns and support </w:t>
      </w:r>
      <w:r>
        <w:rPr>
          <w:rFonts w:ascii="Verdana" w:hAnsi="Verdana"/>
        </w:rPr>
        <w:t xml:space="preserve">complete communities. </w:t>
      </w:r>
    </w:p>
    <w:p w14:paraId="60B73328" w14:textId="77777777" w:rsidR="00CD2F30" w:rsidRPr="00CD2F30" w:rsidRDefault="00CD2F30" w:rsidP="00FE0E96">
      <w:pPr>
        <w:pStyle w:val="ListParagraph"/>
        <w:spacing w:before="120" w:after="120" w:line="240" w:lineRule="auto"/>
        <w:ind w:left="709"/>
        <w:contextualSpacing w:val="0"/>
        <w:rPr>
          <w:rFonts w:ascii="Verdana" w:hAnsi="Verdana"/>
          <w:b/>
        </w:rPr>
      </w:pPr>
    </w:p>
    <w:p w14:paraId="6F327745" w14:textId="77777777" w:rsidR="00CD2F30" w:rsidRDefault="00CD2F30" w:rsidP="00CD2F30">
      <w:pPr>
        <w:pStyle w:val="ListParagraph"/>
        <w:numPr>
          <w:ilvl w:val="0"/>
          <w:numId w:val="3"/>
        </w:numPr>
        <w:spacing w:after="0" w:line="240" w:lineRule="auto"/>
        <w:rPr>
          <w:rFonts w:ascii="Verdana" w:hAnsi="Verdana"/>
          <w:b/>
        </w:rPr>
      </w:pPr>
      <w:r w:rsidRPr="00CD2F30">
        <w:rPr>
          <w:rFonts w:ascii="Verdana" w:hAnsi="Verdana"/>
          <w:b/>
        </w:rPr>
        <w:t xml:space="preserve">Settlement Boundary Expansions </w:t>
      </w:r>
    </w:p>
    <w:p w14:paraId="7E1687ED" w14:textId="77777777" w:rsidR="00CD2F30" w:rsidRPr="00CD2F30" w:rsidRDefault="00CD2F30" w:rsidP="00CD2F30">
      <w:pPr>
        <w:pStyle w:val="ListParagraph"/>
        <w:spacing w:after="0" w:line="240" w:lineRule="auto"/>
        <w:ind w:left="360"/>
        <w:rPr>
          <w:rFonts w:ascii="Verdana" w:hAnsi="Verdana"/>
          <w:b/>
        </w:rPr>
      </w:pPr>
    </w:p>
    <w:p w14:paraId="416984A9" w14:textId="77777777" w:rsidR="00CE2060" w:rsidRDefault="00CD2F30" w:rsidP="00CD2F30">
      <w:pPr>
        <w:rPr>
          <w:rFonts w:ascii="Verdana" w:hAnsi="Verdana"/>
          <w:sz w:val="22"/>
          <w:szCs w:val="22"/>
        </w:rPr>
      </w:pPr>
      <w:r w:rsidRPr="00CD2F30">
        <w:rPr>
          <w:rFonts w:ascii="Verdana" w:hAnsi="Verdana"/>
          <w:sz w:val="22"/>
          <w:szCs w:val="22"/>
        </w:rPr>
        <w:t>Data produced to date indicates that there is more than en</w:t>
      </w:r>
      <w:r w:rsidR="000F68E0">
        <w:rPr>
          <w:rFonts w:ascii="Verdana" w:hAnsi="Verdana"/>
          <w:sz w:val="22"/>
          <w:szCs w:val="22"/>
        </w:rPr>
        <w:t xml:space="preserve">ough land already allocated to accommodate expected population </w:t>
      </w:r>
      <w:r w:rsidRPr="00CD2F30">
        <w:rPr>
          <w:rFonts w:ascii="Verdana" w:hAnsi="Verdana"/>
          <w:sz w:val="22"/>
          <w:szCs w:val="22"/>
        </w:rPr>
        <w:t>growth</w:t>
      </w:r>
      <w:r w:rsidR="000F68E0">
        <w:rPr>
          <w:rFonts w:ascii="Verdana" w:hAnsi="Verdana"/>
          <w:sz w:val="22"/>
          <w:szCs w:val="22"/>
        </w:rPr>
        <w:t xml:space="preserve"> in the Greater Golden Horseshoe</w:t>
      </w:r>
      <w:r w:rsidRPr="00CD2F30">
        <w:rPr>
          <w:rFonts w:ascii="Verdana" w:hAnsi="Verdana"/>
          <w:sz w:val="22"/>
          <w:szCs w:val="22"/>
        </w:rPr>
        <w:t xml:space="preserve"> within existing urb</w:t>
      </w:r>
      <w:r w:rsidR="000F68E0">
        <w:rPr>
          <w:rFonts w:ascii="Verdana" w:hAnsi="Verdana"/>
          <w:sz w:val="22"/>
          <w:szCs w:val="22"/>
        </w:rPr>
        <w:t>an boundaries</w:t>
      </w:r>
      <w:r w:rsidRPr="00CD2F30">
        <w:rPr>
          <w:rFonts w:ascii="Verdana" w:hAnsi="Verdana"/>
          <w:sz w:val="22"/>
          <w:szCs w:val="22"/>
        </w:rPr>
        <w:t xml:space="preserve"> to 2031</w:t>
      </w:r>
      <w:r w:rsidR="000F68E0">
        <w:rPr>
          <w:rFonts w:ascii="Verdana" w:hAnsi="Verdana"/>
          <w:sz w:val="22"/>
          <w:szCs w:val="22"/>
        </w:rPr>
        <w:t>. In some regions there is an excess of land</w:t>
      </w:r>
      <w:r w:rsidR="00CE2060">
        <w:rPr>
          <w:rFonts w:ascii="Verdana" w:hAnsi="Verdana"/>
          <w:sz w:val="22"/>
          <w:szCs w:val="22"/>
        </w:rPr>
        <w:t>, f</w:t>
      </w:r>
      <w:r w:rsidR="0076776C">
        <w:rPr>
          <w:rFonts w:ascii="Verdana" w:hAnsi="Verdana"/>
          <w:sz w:val="22"/>
          <w:szCs w:val="22"/>
        </w:rPr>
        <w:t>or example, York Region has a 23 year supply of land for housing and an excess supply of employment land</w:t>
      </w:r>
      <w:r w:rsidR="003E21C7">
        <w:rPr>
          <w:rFonts w:ascii="Verdana" w:hAnsi="Verdana"/>
          <w:sz w:val="22"/>
          <w:szCs w:val="22"/>
        </w:rPr>
        <w:t>.</w:t>
      </w:r>
      <w:r w:rsidR="0076776C">
        <w:rPr>
          <w:rStyle w:val="EndnoteReference"/>
          <w:rFonts w:ascii="Verdana" w:hAnsi="Verdana"/>
          <w:sz w:val="22"/>
          <w:szCs w:val="22"/>
        </w:rPr>
        <w:endnoteReference w:id="1"/>
      </w:r>
      <w:r w:rsidR="00D557A5">
        <w:rPr>
          <w:rStyle w:val="FootnoteReference"/>
          <w:rFonts w:ascii="Verdana" w:hAnsi="Verdana"/>
          <w:sz w:val="22"/>
          <w:szCs w:val="22"/>
        </w:rPr>
        <w:footnoteReference w:id="1"/>
      </w:r>
      <w:r w:rsidR="00DF1427">
        <w:rPr>
          <w:rFonts w:ascii="Verdana" w:hAnsi="Verdana"/>
          <w:sz w:val="22"/>
          <w:szCs w:val="22"/>
        </w:rPr>
        <w:t xml:space="preserve"> If we build more missing middle housing we can reduce land consumption. </w:t>
      </w:r>
    </w:p>
    <w:p w14:paraId="08132116" w14:textId="77777777" w:rsidR="00DF1427" w:rsidRDefault="00DF1427" w:rsidP="00CD2F30">
      <w:pPr>
        <w:rPr>
          <w:rFonts w:ascii="Verdana" w:hAnsi="Verdana"/>
          <w:sz w:val="22"/>
          <w:szCs w:val="22"/>
        </w:rPr>
      </w:pPr>
    </w:p>
    <w:p w14:paraId="60E90CBA" w14:textId="12041E44" w:rsidR="00DF1427" w:rsidRDefault="00831348" w:rsidP="00CD2F30">
      <w:pPr>
        <w:rPr>
          <w:rFonts w:ascii="Verdana" w:hAnsi="Verdana"/>
          <w:sz w:val="22"/>
          <w:szCs w:val="22"/>
        </w:rPr>
      </w:pPr>
      <w:r>
        <w:rPr>
          <w:rFonts w:ascii="Verdana" w:hAnsi="Verdana"/>
          <w:sz w:val="22"/>
          <w:szCs w:val="22"/>
        </w:rPr>
        <w:t>For example, a</w:t>
      </w:r>
      <w:r w:rsidR="00DF1427">
        <w:rPr>
          <w:rFonts w:ascii="Verdana" w:hAnsi="Verdana"/>
          <w:sz w:val="22"/>
          <w:szCs w:val="22"/>
        </w:rPr>
        <w:t xml:space="preserve"> </w:t>
      </w:r>
      <w:r>
        <w:rPr>
          <w:rFonts w:ascii="Verdana" w:hAnsi="Verdana"/>
          <w:sz w:val="22"/>
          <w:szCs w:val="22"/>
        </w:rPr>
        <w:t xml:space="preserve">recent </w:t>
      </w:r>
      <w:r w:rsidR="00DF1427">
        <w:rPr>
          <w:rFonts w:ascii="Verdana" w:hAnsi="Verdana"/>
          <w:sz w:val="22"/>
          <w:szCs w:val="22"/>
        </w:rPr>
        <w:t>study by Ryerson City Building Institute indicates that Mississauga can accommodate 174,000 mid-rise housing units within its existing urban footprint, 85% of Peel Region’s allocated growth.</w:t>
      </w:r>
      <w:r w:rsidR="00410D65">
        <w:rPr>
          <w:rStyle w:val="FootnoteReference"/>
          <w:rFonts w:ascii="Verdana" w:hAnsi="Verdana"/>
          <w:sz w:val="22"/>
          <w:szCs w:val="22"/>
        </w:rPr>
        <w:footnoteReference w:id="2"/>
      </w:r>
      <w:r w:rsidR="00DF1427">
        <w:rPr>
          <w:rFonts w:ascii="Verdana" w:hAnsi="Verdana"/>
          <w:sz w:val="22"/>
          <w:szCs w:val="22"/>
        </w:rPr>
        <w:t xml:space="preserve"> Missing middle family housing provides affordable housing where urban services exist reducing municipal costs and </w:t>
      </w:r>
      <w:r w:rsidR="00C23F02">
        <w:rPr>
          <w:rFonts w:ascii="Verdana" w:hAnsi="Verdana"/>
          <w:sz w:val="22"/>
          <w:szCs w:val="22"/>
        </w:rPr>
        <w:t xml:space="preserve">retaining precious </w:t>
      </w:r>
      <w:r w:rsidR="00DF1427">
        <w:rPr>
          <w:rFonts w:ascii="Verdana" w:hAnsi="Verdana"/>
          <w:sz w:val="22"/>
          <w:szCs w:val="22"/>
        </w:rPr>
        <w:t>farmland</w:t>
      </w:r>
      <w:r w:rsidR="00C23F02">
        <w:rPr>
          <w:rFonts w:ascii="Verdana" w:hAnsi="Verdana"/>
          <w:sz w:val="22"/>
          <w:szCs w:val="22"/>
        </w:rPr>
        <w:t xml:space="preserve">. </w:t>
      </w:r>
    </w:p>
    <w:p w14:paraId="679A1D33" w14:textId="77777777" w:rsidR="00CE2060" w:rsidRDefault="00CE2060" w:rsidP="00CD2F30">
      <w:pPr>
        <w:rPr>
          <w:rFonts w:ascii="Verdana" w:hAnsi="Verdana"/>
          <w:sz w:val="22"/>
          <w:szCs w:val="22"/>
        </w:rPr>
      </w:pPr>
    </w:p>
    <w:p w14:paraId="1E5F215E" w14:textId="77777777" w:rsidR="000F68E0" w:rsidRDefault="00263AA5" w:rsidP="00CD2F30">
      <w:pPr>
        <w:rPr>
          <w:rFonts w:ascii="Verdana" w:hAnsi="Verdana"/>
          <w:sz w:val="22"/>
          <w:szCs w:val="22"/>
        </w:rPr>
      </w:pPr>
      <w:r>
        <w:rPr>
          <w:rFonts w:ascii="Verdana" w:hAnsi="Verdana"/>
          <w:sz w:val="22"/>
          <w:szCs w:val="22"/>
        </w:rPr>
        <w:t>If urban boundary expansions proceed</w:t>
      </w:r>
      <w:r w:rsidR="00CE2060">
        <w:rPr>
          <w:rFonts w:ascii="Verdana" w:hAnsi="Verdana"/>
          <w:sz w:val="22"/>
          <w:szCs w:val="22"/>
        </w:rPr>
        <w:t xml:space="preserve"> when there is excess land </w:t>
      </w:r>
      <w:r w:rsidR="000F68E0">
        <w:rPr>
          <w:rFonts w:ascii="Verdana" w:hAnsi="Verdana"/>
          <w:sz w:val="22"/>
          <w:szCs w:val="22"/>
        </w:rPr>
        <w:t>then</w:t>
      </w:r>
      <w:r w:rsidR="00A230A5">
        <w:rPr>
          <w:rFonts w:ascii="Verdana" w:hAnsi="Verdana"/>
          <w:sz w:val="22"/>
          <w:szCs w:val="22"/>
        </w:rPr>
        <w:t xml:space="preserve"> </w:t>
      </w:r>
      <w:r>
        <w:rPr>
          <w:rFonts w:ascii="Verdana" w:hAnsi="Verdana"/>
          <w:sz w:val="22"/>
          <w:szCs w:val="22"/>
        </w:rPr>
        <w:t>land use is not maximized resulting in inefficiencies</w:t>
      </w:r>
      <w:r w:rsidR="000F68E0">
        <w:rPr>
          <w:rFonts w:ascii="Verdana" w:hAnsi="Verdana"/>
          <w:sz w:val="22"/>
          <w:szCs w:val="22"/>
        </w:rPr>
        <w:t>, such as lost revenue for municipalities from vacant land and costs for i</w:t>
      </w:r>
      <w:r>
        <w:rPr>
          <w:rFonts w:ascii="Verdana" w:hAnsi="Verdana"/>
          <w:sz w:val="22"/>
          <w:szCs w:val="22"/>
        </w:rPr>
        <w:t xml:space="preserve">nfrastructure expansions </w:t>
      </w:r>
      <w:r w:rsidR="000F68E0">
        <w:rPr>
          <w:rFonts w:ascii="Verdana" w:hAnsi="Verdana"/>
          <w:sz w:val="22"/>
          <w:szCs w:val="22"/>
        </w:rPr>
        <w:t xml:space="preserve">resulting in higher taxes. </w:t>
      </w:r>
    </w:p>
    <w:p w14:paraId="428FE5F2" w14:textId="77777777" w:rsidR="004C4B88" w:rsidRDefault="004C4B88" w:rsidP="00CD2F30">
      <w:pPr>
        <w:rPr>
          <w:rFonts w:ascii="Verdana" w:hAnsi="Verdana"/>
          <w:sz w:val="22"/>
          <w:szCs w:val="22"/>
        </w:rPr>
      </w:pPr>
    </w:p>
    <w:p w14:paraId="257543BE" w14:textId="77777777" w:rsidR="00CD2F30" w:rsidRPr="00CD2F30" w:rsidRDefault="00CD2F30" w:rsidP="00CD2F30">
      <w:pPr>
        <w:rPr>
          <w:rFonts w:ascii="Verdana" w:hAnsi="Verdana"/>
          <w:sz w:val="22"/>
          <w:szCs w:val="22"/>
        </w:rPr>
      </w:pPr>
    </w:p>
    <w:p w14:paraId="1EB486CC" w14:textId="77777777" w:rsidR="00CD2F30" w:rsidRDefault="00CD2F30" w:rsidP="00CD2F30">
      <w:pPr>
        <w:rPr>
          <w:rFonts w:ascii="Verdana" w:hAnsi="Verdana"/>
          <w:b/>
          <w:sz w:val="22"/>
          <w:szCs w:val="22"/>
        </w:rPr>
      </w:pPr>
      <w:r w:rsidRPr="00CD2F30">
        <w:rPr>
          <w:rFonts w:ascii="Verdana" w:hAnsi="Verdana"/>
          <w:b/>
          <w:sz w:val="22"/>
          <w:szCs w:val="22"/>
        </w:rPr>
        <w:t xml:space="preserve">Recommendation: </w:t>
      </w:r>
    </w:p>
    <w:p w14:paraId="0EA4117C" w14:textId="77777777" w:rsidR="00CD2F30" w:rsidRPr="00CD2F30" w:rsidRDefault="00CD2F30" w:rsidP="00CD2F30">
      <w:pPr>
        <w:rPr>
          <w:rFonts w:ascii="Verdana" w:hAnsi="Verdana"/>
          <w:b/>
          <w:sz w:val="22"/>
          <w:szCs w:val="22"/>
        </w:rPr>
      </w:pPr>
    </w:p>
    <w:p w14:paraId="473F7F90" w14:textId="77777777" w:rsidR="00C23F02" w:rsidRPr="00C23F02" w:rsidRDefault="00C23F02" w:rsidP="00C23F02">
      <w:pPr>
        <w:pStyle w:val="ListParagraph"/>
        <w:numPr>
          <w:ilvl w:val="0"/>
          <w:numId w:val="4"/>
        </w:numPr>
        <w:rPr>
          <w:rFonts w:ascii="Verdana" w:hAnsi="Verdana"/>
        </w:rPr>
      </w:pPr>
      <w:r w:rsidRPr="00C23F02">
        <w:rPr>
          <w:rFonts w:ascii="Verdana" w:hAnsi="Verdana"/>
        </w:rPr>
        <w:t xml:space="preserve">Clarity is required to understand 1) who can make a request for a boundary expansion and 2) the number of boundary expansions that can be requested outside of an MCR process. </w:t>
      </w:r>
    </w:p>
    <w:p w14:paraId="6A0D9605" w14:textId="77777777" w:rsidR="00CD2F30" w:rsidRPr="00CD2F30" w:rsidRDefault="00CD2F30" w:rsidP="00FE0E96">
      <w:pPr>
        <w:pStyle w:val="ListParagraph"/>
        <w:numPr>
          <w:ilvl w:val="0"/>
          <w:numId w:val="4"/>
        </w:numPr>
        <w:spacing w:before="120" w:after="120" w:line="240" w:lineRule="auto"/>
        <w:ind w:left="714" w:hanging="357"/>
        <w:contextualSpacing w:val="0"/>
        <w:rPr>
          <w:rFonts w:ascii="Verdana" w:hAnsi="Verdana"/>
        </w:rPr>
      </w:pPr>
      <w:r w:rsidRPr="00CD2F30">
        <w:rPr>
          <w:rFonts w:ascii="Verdana" w:hAnsi="Verdana"/>
        </w:rPr>
        <w:lastRenderedPageBreak/>
        <w:t>Hold the line on urban boundary expansions to support intensification to prevent sprawl</w:t>
      </w:r>
      <w:r w:rsidR="004C4B88">
        <w:rPr>
          <w:rFonts w:ascii="Verdana" w:hAnsi="Verdana"/>
        </w:rPr>
        <w:t xml:space="preserve">, farmland loss </w:t>
      </w:r>
      <w:r w:rsidRPr="00CD2F30">
        <w:rPr>
          <w:rFonts w:ascii="Verdana" w:hAnsi="Verdana"/>
        </w:rPr>
        <w:t xml:space="preserve">and maximize the efficiency of existing infrastructure. </w:t>
      </w:r>
    </w:p>
    <w:p w14:paraId="26412E6F" w14:textId="77777777" w:rsidR="00CD2F30" w:rsidRDefault="004C4B88" w:rsidP="00FE0E96">
      <w:pPr>
        <w:pStyle w:val="ListParagraph"/>
        <w:numPr>
          <w:ilvl w:val="0"/>
          <w:numId w:val="4"/>
        </w:numPr>
        <w:spacing w:before="120" w:after="120" w:line="240" w:lineRule="auto"/>
        <w:ind w:left="714" w:hanging="357"/>
        <w:contextualSpacing w:val="0"/>
        <w:rPr>
          <w:rFonts w:ascii="Verdana" w:hAnsi="Verdana"/>
        </w:rPr>
      </w:pPr>
      <w:r>
        <w:rPr>
          <w:rFonts w:ascii="Verdana" w:hAnsi="Verdana"/>
        </w:rPr>
        <w:t xml:space="preserve">Keep the </w:t>
      </w:r>
      <w:r w:rsidR="0076776C">
        <w:rPr>
          <w:rFonts w:ascii="Verdana" w:hAnsi="Verdana"/>
        </w:rPr>
        <w:t>MCR process</w:t>
      </w:r>
      <w:r>
        <w:rPr>
          <w:rFonts w:ascii="Verdana" w:hAnsi="Verdana"/>
        </w:rPr>
        <w:t>,</w:t>
      </w:r>
      <w:r w:rsidR="00B252A4">
        <w:rPr>
          <w:rFonts w:ascii="Verdana" w:hAnsi="Verdana"/>
        </w:rPr>
        <w:t xml:space="preserve"> essential for evidence-based planning. </w:t>
      </w:r>
    </w:p>
    <w:p w14:paraId="2D9F3264" w14:textId="77777777" w:rsidR="00CD2F30" w:rsidRDefault="001415D1" w:rsidP="00FE0E96">
      <w:pPr>
        <w:pStyle w:val="ListParagraph"/>
        <w:numPr>
          <w:ilvl w:val="0"/>
          <w:numId w:val="4"/>
        </w:numPr>
        <w:spacing w:before="120" w:after="120" w:line="240" w:lineRule="auto"/>
        <w:ind w:left="714" w:hanging="357"/>
        <w:contextualSpacing w:val="0"/>
        <w:rPr>
          <w:rFonts w:ascii="Verdana" w:hAnsi="Verdana"/>
        </w:rPr>
      </w:pPr>
      <w:r>
        <w:rPr>
          <w:rFonts w:ascii="Verdana" w:hAnsi="Verdana"/>
        </w:rPr>
        <w:t>No rounding out t</w:t>
      </w:r>
      <w:r w:rsidR="00CD2F30" w:rsidRPr="004C4B5A">
        <w:rPr>
          <w:rFonts w:ascii="Verdana" w:hAnsi="Verdana"/>
        </w:rPr>
        <w:t>o</w:t>
      </w:r>
      <w:r w:rsidR="004C4B5A" w:rsidRPr="004C4B5A">
        <w:rPr>
          <w:rFonts w:ascii="Verdana" w:hAnsi="Verdana"/>
        </w:rPr>
        <w:t xml:space="preserve"> rural settlement boundaries or the boundaries of </w:t>
      </w:r>
      <w:r w:rsidR="00CD2F30" w:rsidRPr="004C4B5A">
        <w:rPr>
          <w:rFonts w:ascii="Verdana" w:hAnsi="Verdana"/>
        </w:rPr>
        <w:t>towns</w:t>
      </w:r>
      <w:r w:rsidR="004C4B5A" w:rsidRPr="004C4B5A">
        <w:rPr>
          <w:rFonts w:ascii="Verdana" w:hAnsi="Verdana"/>
        </w:rPr>
        <w:t xml:space="preserve"> and villages or hamlets </w:t>
      </w:r>
      <w:r w:rsidR="00CD2F30" w:rsidRPr="004C4B5A">
        <w:rPr>
          <w:rFonts w:ascii="Verdana" w:hAnsi="Verdana"/>
        </w:rPr>
        <w:t xml:space="preserve">in the Greenbelt Plan. </w:t>
      </w:r>
    </w:p>
    <w:p w14:paraId="4F5CE68B" w14:textId="77777777" w:rsidR="00CD2F30" w:rsidRDefault="00FE0E96" w:rsidP="004F5276">
      <w:pPr>
        <w:pStyle w:val="ListParagraph"/>
        <w:numPr>
          <w:ilvl w:val="0"/>
          <w:numId w:val="4"/>
        </w:numPr>
        <w:spacing w:before="120" w:after="0" w:line="240" w:lineRule="auto"/>
        <w:ind w:left="714" w:hanging="357"/>
        <w:contextualSpacing w:val="0"/>
        <w:rPr>
          <w:rFonts w:ascii="Verdana" w:hAnsi="Verdana"/>
        </w:rPr>
      </w:pPr>
      <w:r w:rsidRPr="00340588">
        <w:rPr>
          <w:rFonts w:ascii="Verdana" w:hAnsi="Verdana"/>
        </w:rPr>
        <w:t xml:space="preserve">Do not </w:t>
      </w:r>
      <w:r w:rsidR="00340588" w:rsidRPr="00340588">
        <w:rPr>
          <w:rFonts w:ascii="Verdana" w:hAnsi="Verdana"/>
        </w:rPr>
        <w:t xml:space="preserve">proceed with allowing </w:t>
      </w:r>
      <w:r w:rsidR="00996FDD" w:rsidRPr="00340588">
        <w:rPr>
          <w:rFonts w:ascii="Verdana" w:hAnsi="Verdana"/>
        </w:rPr>
        <w:t xml:space="preserve">settlement boundary </w:t>
      </w:r>
      <w:r w:rsidRPr="00340588">
        <w:rPr>
          <w:rFonts w:ascii="Verdana" w:hAnsi="Verdana"/>
        </w:rPr>
        <w:t>expansions of up to 40 hectares</w:t>
      </w:r>
      <w:r w:rsidR="00996FDD" w:rsidRPr="00340588">
        <w:rPr>
          <w:rFonts w:ascii="Verdana" w:hAnsi="Verdana"/>
        </w:rPr>
        <w:t xml:space="preserve"> (the size of Yorkdale</w:t>
      </w:r>
      <w:r w:rsidR="00104BA4">
        <w:rPr>
          <w:rFonts w:ascii="Verdana" w:hAnsi="Verdana"/>
        </w:rPr>
        <w:t xml:space="preserve">) </w:t>
      </w:r>
      <w:r w:rsidRPr="00340588">
        <w:rPr>
          <w:rFonts w:ascii="Verdana" w:hAnsi="Verdana"/>
        </w:rPr>
        <w:t>or multiple expansions</w:t>
      </w:r>
      <w:r w:rsidR="00996FDD" w:rsidRPr="00340588">
        <w:rPr>
          <w:rFonts w:ascii="Verdana" w:hAnsi="Verdana"/>
        </w:rPr>
        <w:t xml:space="preserve">. </w:t>
      </w:r>
    </w:p>
    <w:p w14:paraId="3A052F86" w14:textId="77777777" w:rsidR="00340588" w:rsidRDefault="00340588" w:rsidP="00340588">
      <w:pPr>
        <w:spacing w:before="120"/>
        <w:rPr>
          <w:rFonts w:ascii="Verdana" w:hAnsi="Verdana"/>
        </w:rPr>
      </w:pPr>
    </w:p>
    <w:p w14:paraId="73FCF707" w14:textId="77777777" w:rsidR="00340588" w:rsidRPr="00340588" w:rsidRDefault="00340588" w:rsidP="00340588">
      <w:pPr>
        <w:spacing w:before="120"/>
        <w:rPr>
          <w:rFonts w:ascii="Verdana" w:hAnsi="Verdana"/>
        </w:rPr>
      </w:pPr>
    </w:p>
    <w:p w14:paraId="4A9DAF18" w14:textId="77777777" w:rsidR="00CD2F30" w:rsidRDefault="00CD2F30" w:rsidP="00CD2F30">
      <w:pPr>
        <w:pStyle w:val="ListParagraph"/>
        <w:numPr>
          <w:ilvl w:val="0"/>
          <w:numId w:val="3"/>
        </w:numPr>
        <w:spacing w:after="0" w:line="240" w:lineRule="auto"/>
        <w:rPr>
          <w:rFonts w:ascii="Verdana" w:hAnsi="Verdana"/>
          <w:b/>
        </w:rPr>
      </w:pPr>
      <w:r w:rsidRPr="00CD2F30">
        <w:rPr>
          <w:rFonts w:ascii="Verdana" w:hAnsi="Verdana"/>
          <w:b/>
        </w:rPr>
        <w:t>Density and Intensification Targets</w:t>
      </w:r>
    </w:p>
    <w:p w14:paraId="1E5306C2" w14:textId="77777777" w:rsidR="00CD2F30" w:rsidRPr="00CD2F30" w:rsidRDefault="00CD2F30" w:rsidP="00CD2F30">
      <w:pPr>
        <w:pStyle w:val="ListParagraph"/>
        <w:spacing w:after="0" w:line="240" w:lineRule="auto"/>
        <w:ind w:left="360"/>
        <w:rPr>
          <w:rFonts w:ascii="Verdana" w:hAnsi="Verdana"/>
          <w:b/>
        </w:rPr>
      </w:pPr>
    </w:p>
    <w:p w14:paraId="2A44F907" w14:textId="18C5B5E8" w:rsidR="00493865" w:rsidRDefault="00263AA5" w:rsidP="00CD2F30">
      <w:pPr>
        <w:rPr>
          <w:rFonts w:ascii="Verdana" w:hAnsi="Verdana"/>
          <w:sz w:val="22"/>
          <w:szCs w:val="22"/>
        </w:rPr>
      </w:pPr>
      <w:r>
        <w:rPr>
          <w:rFonts w:ascii="Verdana" w:hAnsi="Verdana"/>
          <w:sz w:val="22"/>
          <w:szCs w:val="22"/>
        </w:rPr>
        <w:t xml:space="preserve">There is an excess of land for housing in many communities due </w:t>
      </w:r>
      <w:r w:rsidR="00A230A5">
        <w:rPr>
          <w:rFonts w:ascii="Verdana" w:hAnsi="Verdana"/>
          <w:sz w:val="22"/>
          <w:szCs w:val="22"/>
        </w:rPr>
        <w:t xml:space="preserve">to </w:t>
      </w:r>
      <w:r w:rsidR="00831348">
        <w:rPr>
          <w:rFonts w:ascii="Verdana" w:hAnsi="Verdana"/>
          <w:sz w:val="22"/>
          <w:szCs w:val="22"/>
        </w:rPr>
        <w:t>the use of the</w:t>
      </w:r>
      <w:r w:rsidR="001415D1">
        <w:rPr>
          <w:rFonts w:ascii="Verdana" w:hAnsi="Verdana"/>
          <w:sz w:val="22"/>
          <w:szCs w:val="22"/>
        </w:rPr>
        <w:t xml:space="preserve"> 2006 Growth Plan </w:t>
      </w:r>
      <w:r>
        <w:rPr>
          <w:rFonts w:ascii="Verdana" w:hAnsi="Verdana"/>
          <w:sz w:val="22"/>
          <w:szCs w:val="22"/>
        </w:rPr>
        <w:t>market</w:t>
      </w:r>
      <w:r w:rsidR="001415D1">
        <w:rPr>
          <w:rFonts w:ascii="Verdana" w:hAnsi="Verdana"/>
          <w:sz w:val="22"/>
          <w:szCs w:val="22"/>
        </w:rPr>
        <w:t>-</w:t>
      </w:r>
      <w:r>
        <w:rPr>
          <w:rFonts w:ascii="Verdana" w:hAnsi="Verdana"/>
          <w:sz w:val="22"/>
          <w:szCs w:val="22"/>
        </w:rPr>
        <w:t>based land assessment</w:t>
      </w:r>
      <w:r w:rsidR="00831348">
        <w:rPr>
          <w:rFonts w:ascii="Verdana" w:hAnsi="Verdana"/>
          <w:sz w:val="22"/>
          <w:szCs w:val="22"/>
        </w:rPr>
        <w:t xml:space="preserve"> during MCR preparation</w:t>
      </w:r>
      <w:r>
        <w:rPr>
          <w:rFonts w:ascii="Verdana" w:hAnsi="Verdana"/>
          <w:sz w:val="22"/>
          <w:szCs w:val="22"/>
        </w:rPr>
        <w:t xml:space="preserve">. </w:t>
      </w:r>
      <w:r w:rsidR="004C4B88">
        <w:rPr>
          <w:rFonts w:ascii="Verdana" w:hAnsi="Verdana"/>
          <w:sz w:val="22"/>
          <w:szCs w:val="22"/>
        </w:rPr>
        <w:t xml:space="preserve"> During the 2017 Growth Plan review there was consensus reached among the multi-sector stakeholder panel to move to a target of 80 pj/ha. At the time industry concerns about the stock of single</w:t>
      </w:r>
      <w:r w:rsidR="001451D2">
        <w:rPr>
          <w:rFonts w:ascii="Verdana" w:hAnsi="Verdana"/>
          <w:sz w:val="22"/>
          <w:szCs w:val="22"/>
        </w:rPr>
        <w:t>-</w:t>
      </w:r>
      <w:r w:rsidR="004C4B88">
        <w:rPr>
          <w:rFonts w:ascii="Verdana" w:hAnsi="Verdana"/>
          <w:sz w:val="22"/>
          <w:szCs w:val="22"/>
        </w:rPr>
        <w:t xml:space="preserve">family homes was found </w:t>
      </w:r>
      <w:r w:rsidR="00BF44F2">
        <w:rPr>
          <w:rFonts w:ascii="Verdana" w:hAnsi="Verdana"/>
          <w:sz w:val="22"/>
          <w:szCs w:val="22"/>
        </w:rPr>
        <w:t xml:space="preserve">to be unsubstantiated as municipalities had planned for 800,000 ground related housing </w:t>
      </w:r>
      <w:r w:rsidR="005E06A8">
        <w:rPr>
          <w:rFonts w:ascii="Verdana" w:hAnsi="Verdana"/>
          <w:sz w:val="22"/>
          <w:szCs w:val="22"/>
        </w:rPr>
        <w:t xml:space="preserve">units </w:t>
      </w:r>
      <w:r w:rsidR="00BF44F2">
        <w:rPr>
          <w:rFonts w:ascii="Verdana" w:hAnsi="Verdana"/>
          <w:sz w:val="22"/>
          <w:szCs w:val="22"/>
        </w:rPr>
        <w:t xml:space="preserve">providing for 80% of the expected population growth. Changes were made to calculating </w:t>
      </w:r>
      <w:r w:rsidR="005E06A8">
        <w:rPr>
          <w:rFonts w:ascii="Verdana" w:hAnsi="Verdana"/>
          <w:sz w:val="22"/>
          <w:szCs w:val="22"/>
        </w:rPr>
        <w:t xml:space="preserve">density </w:t>
      </w:r>
      <w:r w:rsidR="00BF44F2">
        <w:rPr>
          <w:rFonts w:ascii="Verdana" w:hAnsi="Verdana"/>
          <w:sz w:val="22"/>
          <w:szCs w:val="22"/>
        </w:rPr>
        <w:t>targets by excluding employment areas, freeways, railways, pipelines, hydrolines, and cemet</w:t>
      </w:r>
      <w:r w:rsidR="005E06A8">
        <w:rPr>
          <w:rFonts w:ascii="Verdana" w:hAnsi="Verdana"/>
          <w:sz w:val="22"/>
          <w:szCs w:val="22"/>
        </w:rPr>
        <w:t>e</w:t>
      </w:r>
      <w:r w:rsidR="00BF44F2">
        <w:rPr>
          <w:rFonts w:ascii="Verdana" w:hAnsi="Verdana"/>
          <w:sz w:val="22"/>
          <w:szCs w:val="22"/>
        </w:rPr>
        <w:t>ries. Those exemptions and the new lower targets proposed further reduce densities in some areas below 2006 levels to 1990 densities. (See Appendix 2, Envisioning Brant County study)</w:t>
      </w:r>
      <w:r w:rsidR="00493865">
        <w:rPr>
          <w:rFonts w:ascii="Verdana" w:hAnsi="Verdana"/>
          <w:sz w:val="22"/>
          <w:szCs w:val="22"/>
        </w:rPr>
        <w:t xml:space="preserve">. </w:t>
      </w:r>
    </w:p>
    <w:p w14:paraId="73E03442" w14:textId="77777777" w:rsidR="00493865" w:rsidRDefault="00493865" w:rsidP="00CD2F30">
      <w:pPr>
        <w:rPr>
          <w:rFonts w:ascii="Verdana" w:hAnsi="Verdana"/>
          <w:sz w:val="22"/>
          <w:szCs w:val="22"/>
        </w:rPr>
      </w:pPr>
    </w:p>
    <w:p w14:paraId="4719FB3C" w14:textId="2431DB99" w:rsidR="00CA2AB0" w:rsidRDefault="00263AA5" w:rsidP="00CA2AB0">
      <w:pPr>
        <w:rPr>
          <w:rFonts w:ascii="Verdana" w:hAnsi="Verdana"/>
          <w:sz w:val="22"/>
          <w:szCs w:val="22"/>
        </w:rPr>
      </w:pPr>
      <w:r>
        <w:rPr>
          <w:rFonts w:ascii="Verdana" w:hAnsi="Verdana"/>
          <w:sz w:val="22"/>
          <w:szCs w:val="22"/>
        </w:rPr>
        <w:t xml:space="preserve">Housing trends and demographic shifts indicate a broader mix of housing is needed beyond tall condos and </w:t>
      </w:r>
      <w:proofErr w:type="gramStart"/>
      <w:r>
        <w:rPr>
          <w:rFonts w:ascii="Verdana" w:hAnsi="Verdana"/>
          <w:sz w:val="22"/>
          <w:szCs w:val="22"/>
        </w:rPr>
        <w:t>low density</w:t>
      </w:r>
      <w:proofErr w:type="gramEnd"/>
      <w:r>
        <w:rPr>
          <w:rFonts w:ascii="Verdana" w:hAnsi="Verdana"/>
          <w:sz w:val="22"/>
          <w:szCs w:val="22"/>
        </w:rPr>
        <w:t xml:space="preserve"> housing. A report by Ryerson’s City Building Institute indicates that most of our housing needs can be met through </w:t>
      </w:r>
      <w:r w:rsidR="00E24A5A">
        <w:rPr>
          <w:rFonts w:ascii="Verdana" w:hAnsi="Verdana"/>
          <w:sz w:val="22"/>
          <w:szCs w:val="22"/>
        </w:rPr>
        <w:t>mid-rise (4-10 stories) missing middle development</w:t>
      </w:r>
      <w:r>
        <w:rPr>
          <w:rFonts w:ascii="Verdana" w:hAnsi="Verdana"/>
          <w:sz w:val="22"/>
          <w:szCs w:val="22"/>
        </w:rPr>
        <w:t>.</w:t>
      </w:r>
      <w:r w:rsidR="00D557A5">
        <w:rPr>
          <w:rStyle w:val="FootnoteReference"/>
          <w:rFonts w:ascii="Verdana" w:hAnsi="Verdana"/>
          <w:sz w:val="22"/>
          <w:szCs w:val="22"/>
        </w:rPr>
        <w:footnoteReference w:id="3"/>
      </w:r>
      <w:r>
        <w:rPr>
          <w:rFonts w:ascii="Verdana" w:hAnsi="Verdana"/>
          <w:sz w:val="22"/>
          <w:szCs w:val="22"/>
        </w:rPr>
        <w:t xml:space="preserve"> </w:t>
      </w:r>
      <w:r w:rsidR="00493865" w:rsidRPr="00493865">
        <w:rPr>
          <w:rFonts w:ascii="Verdana" w:hAnsi="Verdana"/>
          <w:sz w:val="22"/>
          <w:szCs w:val="22"/>
        </w:rPr>
        <w:t>And t</w:t>
      </w:r>
      <w:r w:rsidR="00696506" w:rsidRPr="00493865">
        <w:rPr>
          <w:rFonts w:ascii="Verdana" w:hAnsi="Verdana"/>
          <w:sz w:val="22"/>
          <w:szCs w:val="22"/>
        </w:rPr>
        <w:t>ransit supportiv</w:t>
      </w:r>
      <w:r w:rsidR="00696506" w:rsidRPr="00493865">
        <w:rPr>
          <w:rFonts w:ascii="Verdana" w:hAnsi="Verdana"/>
          <w:sz w:val="22"/>
          <w:szCs w:val="22"/>
        </w:rPr>
        <w:t>e</w:t>
      </w:r>
      <w:r w:rsidR="00696506" w:rsidRPr="00493865">
        <w:rPr>
          <w:rFonts w:ascii="Verdana" w:hAnsi="Verdana"/>
          <w:sz w:val="22"/>
          <w:szCs w:val="22"/>
        </w:rPr>
        <w:t xml:space="preserve"> densities reduce congestion estimated by the Toronto Board of Trade to be costing our economy up to $15 billion per year by 2031.</w:t>
      </w:r>
      <w:r w:rsidR="00696506">
        <w:rPr>
          <w:rFonts w:ascii="Verdana" w:hAnsi="Verdana"/>
          <w:sz w:val="22"/>
          <w:szCs w:val="22"/>
        </w:rPr>
        <w:t xml:space="preserve"> </w:t>
      </w:r>
      <w:r w:rsidR="00CA2AB0">
        <w:rPr>
          <w:rFonts w:ascii="Verdana" w:hAnsi="Verdana"/>
          <w:sz w:val="22"/>
          <w:szCs w:val="22"/>
        </w:rPr>
        <w:t xml:space="preserve">Beyond economic costs, increased traffic congestion </w:t>
      </w:r>
      <w:r w:rsidR="00CA2AB0">
        <w:rPr>
          <w:rFonts w:ascii="Verdana" w:hAnsi="Verdana"/>
          <w:sz w:val="22"/>
          <w:szCs w:val="22"/>
        </w:rPr>
        <w:t>has many implications for commuters including</w:t>
      </w:r>
      <w:r w:rsidR="00CA2AB0" w:rsidRPr="00493865">
        <w:rPr>
          <w:rFonts w:ascii="Verdana" w:hAnsi="Verdana"/>
          <w:sz w:val="22"/>
          <w:szCs w:val="22"/>
        </w:rPr>
        <w:t xml:space="preserve"> health costs and a loss of family time</w:t>
      </w:r>
      <w:r w:rsidR="00CA2AB0">
        <w:rPr>
          <w:rFonts w:ascii="Verdana" w:hAnsi="Verdana"/>
          <w:sz w:val="22"/>
          <w:szCs w:val="22"/>
        </w:rPr>
        <w:t>.</w:t>
      </w:r>
      <w:r w:rsidR="00CA2AB0" w:rsidRPr="00493865">
        <w:rPr>
          <w:rFonts w:ascii="Verdana" w:hAnsi="Verdana"/>
          <w:sz w:val="22"/>
          <w:szCs w:val="22"/>
        </w:rPr>
        <w:t xml:space="preserve"> </w:t>
      </w:r>
      <w:r w:rsidR="00CA2AB0">
        <w:rPr>
          <w:rFonts w:ascii="Verdana" w:hAnsi="Verdana"/>
          <w:sz w:val="22"/>
          <w:szCs w:val="22"/>
        </w:rPr>
        <w:t xml:space="preserve">A </w:t>
      </w:r>
      <w:r w:rsidR="00CA2AB0" w:rsidRPr="00493865">
        <w:rPr>
          <w:rFonts w:ascii="Verdana" w:hAnsi="Verdana"/>
          <w:sz w:val="22"/>
          <w:szCs w:val="22"/>
        </w:rPr>
        <w:t>recent study by CMHC indicates</w:t>
      </w:r>
      <w:r w:rsidR="00CA2AB0">
        <w:rPr>
          <w:rFonts w:ascii="Verdana" w:hAnsi="Verdana"/>
          <w:sz w:val="22"/>
          <w:szCs w:val="22"/>
        </w:rPr>
        <w:t xml:space="preserve"> a </w:t>
      </w:r>
      <w:r w:rsidR="00CA2AB0" w:rsidRPr="00493865">
        <w:rPr>
          <w:rFonts w:ascii="Verdana" w:hAnsi="Verdana"/>
          <w:sz w:val="22"/>
          <w:szCs w:val="22"/>
        </w:rPr>
        <w:t xml:space="preserve">longer commute </w:t>
      </w:r>
      <w:r w:rsidR="00CA2AB0">
        <w:rPr>
          <w:rFonts w:ascii="Verdana" w:hAnsi="Verdana"/>
          <w:sz w:val="22"/>
          <w:szCs w:val="22"/>
        </w:rPr>
        <w:t xml:space="preserve">also </w:t>
      </w:r>
      <w:r w:rsidR="00CA2AB0" w:rsidRPr="00493865">
        <w:rPr>
          <w:rFonts w:ascii="Verdana" w:hAnsi="Verdana"/>
          <w:sz w:val="22"/>
          <w:szCs w:val="22"/>
        </w:rPr>
        <w:t>reduce</w:t>
      </w:r>
      <w:r w:rsidR="00CA2AB0">
        <w:rPr>
          <w:rFonts w:ascii="Verdana" w:hAnsi="Verdana"/>
          <w:sz w:val="22"/>
          <w:szCs w:val="22"/>
        </w:rPr>
        <w:t>s</w:t>
      </w:r>
      <w:r w:rsidR="00CA2AB0" w:rsidRPr="00493865">
        <w:rPr>
          <w:rFonts w:ascii="Verdana" w:hAnsi="Verdana"/>
          <w:sz w:val="22"/>
          <w:szCs w:val="22"/>
        </w:rPr>
        <w:t xml:space="preserve"> the affordability advantage provided by lower housing costs </w:t>
      </w:r>
      <w:r w:rsidR="00CA2AB0">
        <w:rPr>
          <w:rFonts w:ascii="Verdana" w:hAnsi="Verdana"/>
          <w:sz w:val="22"/>
          <w:szCs w:val="22"/>
        </w:rPr>
        <w:t xml:space="preserve">on the edge of </w:t>
      </w:r>
      <w:r w:rsidR="00CA2AB0" w:rsidRPr="00493865">
        <w:rPr>
          <w:rFonts w:ascii="Verdana" w:hAnsi="Verdana"/>
          <w:sz w:val="22"/>
          <w:szCs w:val="22"/>
        </w:rPr>
        <w:t>the GGH.</w:t>
      </w:r>
      <w:r w:rsidR="00CA2AB0" w:rsidRPr="00493865">
        <w:rPr>
          <w:rStyle w:val="FootnoteReference"/>
          <w:rFonts w:ascii="Verdana" w:hAnsi="Verdana"/>
          <w:sz w:val="22"/>
          <w:szCs w:val="22"/>
        </w:rPr>
        <w:footnoteReference w:id="4"/>
      </w:r>
    </w:p>
    <w:p w14:paraId="52792394" w14:textId="3B1DF5E4" w:rsidR="00493865" w:rsidRDefault="00493865" w:rsidP="00CD2F30">
      <w:pPr>
        <w:rPr>
          <w:rFonts w:ascii="Verdana" w:hAnsi="Verdana"/>
          <w:sz w:val="22"/>
          <w:szCs w:val="22"/>
        </w:rPr>
      </w:pPr>
    </w:p>
    <w:p w14:paraId="7329B6C8" w14:textId="2BAE22C8" w:rsidR="00CD2F30" w:rsidRDefault="00CD2F30" w:rsidP="00CD2F30">
      <w:pPr>
        <w:rPr>
          <w:rFonts w:ascii="Verdana" w:hAnsi="Verdana"/>
          <w:sz w:val="22"/>
          <w:szCs w:val="22"/>
        </w:rPr>
      </w:pPr>
      <w:r w:rsidRPr="00CD2F30">
        <w:rPr>
          <w:rFonts w:ascii="Verdana" w:hAnsi="Verdana"/>
          <w:sz w:val="22"/>
          <w:szCs w:val="22"/>
        </w:rPr>
        <w:t>Density makes</w:t>
      </w:r>
      <w:r w:rsidR="00E97C44">
        <w:rPr>
          <w:rFonts w:ascii="Verdana" w:hAnsi="Verdana"/>
          <w:sz w:val="22"/>
          <w:szCs w:val="22"/>
        </w:rPr>
        <w:t xml:space="preserve"> housing, schools, road and servicing</w:t>
      </w:r>
      <w:r w:rsidRPr="00CD2F30">
        <w:rPr>
          <w:rFonts w:ascii="Verdana" w:hAnsi="Verdana"/>
          <w:sz w:val="22"/>
          <w:szCs w:val="22"/>
        </w:rPr>
        <w:t xml:space="preserve"> infrastructure more affordable and sets the land-use stage for providing the diversity of housing that people want. </w:t>
      </w:r>
      <w:r w:rsidR="00B252A4">
        <w:rPr>
          <w:rFonts w:ascii="Verdana" w:hAnsi="Verdana"/>
          <w:sz w:val="22"/>
          <w:szCs w:val="22"/>
        </w:rPr>
        <w:t>I</w:t>
      </w:r>
      <w:r w:rsidRPr="00CD2F30">
        <w:rPr>
          <w:rFonts w:ascii="Verdana" w:hAnsi="Verdana"/>
          <w:sz w:val="22"/>
          <w:szCs w:val="22"/>
        </w:rPr>
        <w:t>n the Greater Toronto Area 81% of respondents to a home</w:t>
      </w:r>
      <w:r>
        <w:rPr>
          <w:rFonts w:ascii="Verdana" w:hAnsi="Verdana"/>
          <w:sz w:val="22"/>
          <w:szCs w:val="22"/>
        </w:rPr>
        <w:t>-</w:t>
      </w:r>
      <w:r w:rsidRPr="00CD2F30">
        <w:rPr>
          <w:rFonts w:ascii="Verdana" w:hAnsi="Verdana"/>
          <w:sz w:val="22"/>
          <w:szCs w:val="22"/>
        </w:rPr>
        <w:t xml:space="preserve">buyers survey prefer a smaller house or condo in a walkable transit friendly neighbourhood over a large house and a long commute. </w:t>
      </w:r>
    </w:p>
    <w:p w14:paraId="225615E3" w14:textId="77777777" w:rsidR="00350100" w:rsidRDefault="00350100" w:rsidP="00CD2F30">
      <w:pPr>
        <w:rPr>
          <w:rFonts w:ascii="Verdana" w:hAnsi="Verdana"/>
          <w:sz w:val="22"/>
          <w:szCs w:val="22"/>
        </w:rPr>
      </w:pPr>
    </w:p>
    <w:p w14:paraId="5B92696C" w14:textId="77777777" w:rsidR="00350100" w:rsidRDefault="00350100" w:rsidP="00CD2F30">
      <w:pPr>
        <w:rPr>
          <w:rFonts w:ascii="Verdana" w:hAnsi="Verdana"/>
          <w:sz w:val="22"/>
          <w:szCs w:val="22"/>
        </w:rPr>
      </w:pPr>
      <w:r>
        <w:rPr>
          <w:rFonts w:ascii="Verdana" w:hAnsi="Verdana"/>
          <w:sz w:val="22"/>
          <w:szCs w:val="22"/>
        </w:rPr>
        <w:t xml:space="preserve">Regional </w:t>
      </w:r>
      <w:r w:rsidR="00340588">
        <w:rPr>
          <w:rFonts w:ascii="Verdana" w:hAnsi="Verdana"/>
          <w:sz w:val="22"/>
          <w:szCs w:val="22"/>
        </w:rPr>
        <w:t xml:space="preserve">and County </w:t>
      </w:r>
      <w:r>
        <w:rPr>
          <w:rFonts w:ascii="Verdana" w:hAnsi="Verdana"/>
          <w:sz w:val="22"/>
          <w:szCs w:val="22"/>
        </w:rPr>
        <w:t>government</w:t>
      </w:r>
      <w:r w:rsidR="00340588">
        <w:rPr>
          <w:rFonts w:ascii="Verdana" w:hAnsi="Verdana"/>
          <w:sz w:val="22"/>
          <w:szCs w:val="22"/>
        </w:rPr>
        <w:t>s</w:t>
      </w:r>
      <w:r>
        <w:rPr>
          <w:rFonts w:ascii="Verdana" w:hAnsi="Verdana"/>
          <w:sz w:val="22"/>
          <w:szCs w:val="22"/>
        </w:rPr>
        <w:t xml:space="preserve"> can and do account for variations and infrastructure capability of lower tiers</w:t>
      </w:r>
      <w:r w:rsidR="00340588">
        <w:rPr>
          <w:rFonts w:ascii="Verdana" w:hAnsi="Verdana"/>
          <w:sz w:val="22"/>
          <w:szCs w:val="22"/>
        </w:rPr>
        <w:t xml:space="preserve"> when allocating growth.</w:t>
      </w:r>
      <w:r>
        <w:rPr>
          <w:rFonts w:ascii="Verdana" w:hAnsi="Verdana"/>
          <w:sz w:val="22"/>
          <w:szCs w:val="22"/>
        </w:rPr>
        <w:t xml:space="preserve"> Also 75% of the forecast</w:t>
      </w:r>
      <w:r w:rsidR="00340588">
        <w:rPr>
          <w:rFonts w:ascii="Verdana" w:hAnsi="Verdana"/>
          <w:sz w:val="22"/>
          <w:szCs w:val="22"/>
        </w:rPr>
        <w:t>ed</w:t>
      </w:r>
      <w:r>
        <w:rPr>
          <w:rFonts w:ascii="Verdana" w:hAnsi="Verdana"/>
          <w:sz w:val="22"/>
          <w:szCs w:val="22"/>
        </w:rPr>
        <w:t xml:space="preserve"> growth is in </w:t>
      </w:r>
      <w:r w:rsidR="005E06A8">
        <w:rPr>
          <w:rFonts w:ascii="Verdana" w:hAnsi="Verdana"/>
          <w:sz w:val="22"/>
          <w:szCs w:val="22"/>
        </w:rPr>
        <w:t xml:space="preserve">greenfield </w:t>
      </w:r>
      <w:r>
        <w:rPr>
          <w:rFonts w:ascii="Verdana" w:hAnsi="Verdana"/>
          <w:sz w:val="22"/>
          <w:szCs w:val="22"/>
        </w:rPr>
        <w:t>area</w:t>
      </w:r>
      <w:r w:rsidR="005E06A8">
        <w:rPr>
          <w:rFonts w:ascii="Verdana" w:hAnsi="Verdana"/>
          <w:sz w:val="22"/>
          <w:szCs w:val="22"/>
        </w:rPr>
        <w:t>s</w:t>
      </w:r>
      <w:r>
        <w:rPr>
          <w:rFonts w:ascii="Verdana" w:hAnsi="Verdana"/>
          <w:sz w:val="22"/>
          <w:szCs w:val="22"/>
        </w:rPr>
        <w:t xml:space="preserve"> that are contiguous to urban areas and most areas are supported by the regional transportation plan. Allowing </w:t>
      </w:r>
      <w:r w:rsidR="002E472A">
        <w:rPr>
          <w:rFonts w:ascii="Verdana" w:hAnsi="Verdana"/>
          <w:sz w:val="22"/>
          <w:szCs w:val="22"/>
        </w:rPr>
        <w:t>all m</w:t>
      </w:r>
      <w:r>
        <w:rPr>
          <w:rFonts w:ascii="Verdana" w:hAnsi="Verdana"/>
          <w:sz w:val="22"/>
          <w:szCs w:val="22"/>
        </w:rPr>
        <w:t xml:space="preserve">unicipalities to lower growth targets is contrary to the principals of </w:t>
      </w:r>
      <w:r w:rsidR="002E472A">
        <w:rPr>
          <w:rFonts w:ascii="Verdana" w:hAnsi="Verdana"/>
          <w:sz w:val="22"/>
          <w:szCs w:val="22"/>
        </w:rPr>
        <w:t xml:space="preserve">compact transit supportive growth in </w:t>
      </w:r>
      <w:r>
        <w:rPr>
          <w:rFonts w:ascii="Verdana" w:hAnsi="Verdana"/>
          <w:sz w:val="22"/>
          <w:szCs w:val="22"/>
        </w:rPr>
        <w:t>the Growth Plan</w:t>
      </w:r>
      <w:r w:rsidR="002E472A">
        <w:rPr>
          <w:rFonts w:ascii="Verdana" w:hAnsi="Verdana"/>
          <w:sz w:val="22"/>
          <w:szCs w:val="22"/>
        </w:rPr>
        <w:t xml:space="preserve"> and </w:t>
      </w:r>
      <w:r w:rsidR="002E472A">
        <w:rPr>
          <w:rFonts w:ascii="Verdana" w:hAnsi="Verdana"/>
          <w:sz w:val="22"/>
          <w:szCs w:val="22"/>
        </w:rPr>
        <w:lastRenderedPageBreak/>
        <w:t xml:space="preserve">will make it difficult to ever be able to provide appropriate levels of transit to low density areas in both the inner and outer ring. </w:t>
      </w:r>
    </w:p>
    <w:p w14:paraId="1AE34AC6" w14:textId="77777777" w:rsidR="00E97C44" w:rsidRDefault="00E97C44" w:rsidP="00CD2F30">
      <w:pPr>
        <w:rPr>
          <w:rFonts w:ascii="Verdana" w:hAnsi="Verdana"/>
          <w:sz w:val="22"/>
          <w:szCs w:val="22"/>
        </w:rPr>
      </w:pPr>
    </w:p>
    <w:p w14:paraId="1CB84F0B" w14:textId="77777777" w:rsidR="00CD2F30" w:rsidRPr="00CD2F30" w:rsidRDefault="00CD2F30" w:rsidP="00CD2F30">
      <w:pPr>
        <w:ind w:left="360"/>
        <w:rPr>
          <w:rFonts w:ascii="Verdana" w:hAnsi="Verdana"/>
          <w:sz w:val="22"/>
          <w:szCs w:val="22"/>
        </w:rPr>
      </w:pPr>
    </w:p>
    <w:p w14:paraId="65BD2CEA" w14:textId="77777777" w:rsidR="00CD2F30" w:rsidRDefault="00CD2F30" w:rsidP="00CD2F30">
      <w:pPr>
        <w:rPr>
          <w:rFonts w:ascii="Verdana" w:hAnsi="Verdana"/>
          <w:b/>
          <w:sz w:val="22"/>
          <w:szCs w:val="22"/>
        </w:rPr>
      </w:pPr>
      <w:r w:rsidRPr="00CD2F30">
        <w:rPr>
          <w:rFonts w:ascii="Verdana" w:hAnsi="Verdana"/>
          <w:b/>
          <w:sz w:val="22"/>
          <w:szCs w:val="22"/>
        </w:rPr>
        <w:t xml:space="preserve">Recommendations: </w:t>
      </w:r>
    </w:p>
    <w:p w14:paraId="2570F7A2" w14:textId="77777777" w:rsidR="00CD2F30" w:rsidRPr="00CD2F30" w:rsidRDefault="00CD2F30" w:rsidP="00CD2F30">
      <w:pPr>
        <w:rPr>
          <w:rFonts w:ascii="Verdana" w:hAnsi="Verdana"/>
          <w:b/>
          <w:sz w:val="22"/>
          <w:szCs w:val="22"/>
        </w:rPr>
      </w:pPr>
    </w:p>
    <w:p w14:paraId="79D8C788" w14:textId="77777777" w:rsidR="00CD2F30" w:rsidRDefault="00CD2F30" w:rsidP="00CD2F30">
      <w:pPr>
        <w:pStyle w:val="ListParagraph"/>
        <w:numPr>
          <w:ilvl w:val="0"/>
          <w:numId w:val="5"/>
        </w:numPr>
        <w:spacing w:after="0" w:line="240" w:lineRule="auto"/>
        <w:ind w:left="709" w:hanging="283"/>
        <w:rPr>
          <w:rFonts w:ascii="Verdana" w:hAnsi="Verdana"/>
        </w:rPr>
      </w:pPr>
      <w:r w:rsidRPr="00CD2F30">
        <w:rPr>
          <w:rFonts w:ascii="Verdana" w:hAnsi="Verdana"/>
        </w:rPr>
        <w:t xml:space="preserve">Keep </w:t>
      </w:r>
      <w:r w:rsidR="00A230A5">
        <w:rPr>
          <w:rFonts w:ascii="Verdana" w:hAnsi="Verdana"/>
        </w:rPr>
        <w:t xml:space="preserve">the 2017 Growth Plan </w:t>
      </w:r>
      <w:r w:rsidRPr="00CD2F30">
        <w:rPr>
          <w:rFonts w:ascii="Verdana" w:hAnsi="Verdana"/>
        </w:rPr>
        <w:t xml:space="preserve">density and intensification targets and make them mandatory, there is already flexibility with expansion criteria through MCR process. Hold the line on density targets to develop the type of housing supply needed. </w:t>
      </w:r>
    </w:p>
    <w:p w14:paraId="0C6BA9C4" w14:textId="77777777" w:rsidR="00E97C44" w:rsidRPr="00E97C44" w:rsidRDefault="00E97C44" w:rsidP="00E97C44">
      <w:pPr>
        <w:rPr>
          <w:rFonts w:ascii="Verdana" w:hAnsi="Verdana"/>
        </w:rPr>
      </w:pPr>
    </w:p>
    <w:p w14:paraId="195C7356" w14:textId="77777777" w:rsidR="00CD2F30" w:rsidRDefault="00CD2F30" w:rsidP="00CD2F30">
      <w:pPr>
        <w:pStyle w:val="ListParagraph"/>
        <w:numPr>
          <w:ilvl w:val="0"/>
          <w:numId w:val="5"/>
        </w:numPr>
        <w:spacing w:after="0" w:line="240" w:lineRule="auto"/>
        <w:ind w:left="709" w:hanging="283"/>
        <w:rPr>
          <w:rFonts w:ascii="Verdana" w:hAnsi="Verdana"/>
        </w:rPr>
      </w:pPr>
      <w:r w:rsidRPr="00CD2F30">
        <w:rPr>
          <w:rFonts w:ascii="Verdana" w:hAnsi="Verdana"/>
        </w:rPr>
        <w:t>Clarity and transparency is needed</w:t>
      </w:r>
      <w:r w:rsidR="005E06A8">
        <w:rPr>
          <w:rFonts w:ascii="Verdana" w:hAnsi="Verdana"/>
        </w:rPr>
        <w:t xml:space="preserve"> to improve m</w:t>
      </w:r>
      <w:r w:rsidRPr="00CD2F30">
        <w:rPr>
          <w:rFonts w:ascii="Verdana" w:hAnsi="Verdana"/>
        </w:rPr>
        <w:t>onitor</w:t>
      </w:r>
      <w:r w:rsidR="005E06A8">
        <w:rPr>
          <w:rFonts w:ascii="Verdana" w:hAnsi="Verdana"/>
        </w:rPr>
        <w:t>ing</w:t>
      </w:r>
      <w:r w:rsidRPr="00CD2F30">
        <w:rPr>
          <w:rFonts w:ascii="Verdana" w:hAnsi="Verdana"/>
        </w:rPr>
        <w:t xml:space="preserve"> and report</w:t>
      </w:r>
      <w:r w:rsidR="005E06A8">
        <w:rPr>
          <w:rFonts w:ascii="Verdana" w:hAnsi="Verdana"/>
        </w:rPr>
        <w:t>ing</w:t>
      </w:r>
      <w:r w:rsidRPr="00CD2F30">
        <w:rPr>
          <w:rFonts w:ascii="Verdana" w:hAnsi="Verdana"/>
        </w:rPr>
        <w:t xml:space="preserve"> on implementation to better understand problems and find the best solution.</w:t>
      </w:r>
    </w:p>
    <w:p w14:paraId="0AC16763" w14:textId="77777777" w:rsidR="00E97C44" w:rsidRPr="00CD2F30" w:rsidRDefault="00E97C44" w:rsidP="00E97C44">
      <w:pPr>
        <w:pStyle w:val="ListParagraph"/>
        <w:spacing w:after="0" w:line="240" w:lineRule="auto"/>
        <w:ind w:left="709"/>
        <w:rPr>
          <w:rFonts w:ascii="Verdana" w:hAnsi="Verdana"/>
        </w:rPr>
      </w:pPr>
    </w:p>
    <w:p w14:paraId="38A7FCD5" w14:textId="77777777" w:rsidR="00B252A4" w:rsidRDefault="00CD2F30" w:rsidP="00340588">
      <w:pPr>
        <w:pStyle w:val="ListParagraph"/>
        <w:numPr>
          <w:ilvl w:val="0"/>
          <w:numId w:val="5"/>
        </w:numPr>
        <w:spacing w:after="0" w:line="240" w:lineRule="auto"/>
        <w:ind w:left="709" w:hanging="283"/>
        <w:rPr>
          <w:rFonts w:ascii="Verdana" w:hAnsi="Verdana"/>
        </w:rPr>
      </w:pPr>
      <w:r w:rsidRPr="00CD2F30">
        <w:rPr>
          <w:rFonts w:ascii="Verdana" w:hAnsi="Verdana"/>
        </w:rPr>
        <w:t>Update growth projections</w:t>
      </w:r>
      <w:r w:rsidR="00B252A4">
        <w:rPr>
          <w:rFonts w:ascii="Verdana" w:hAnsi="Verdana"/>
        </w:rPr>
        <w:t xml:space="preserve"> </w:t>
      </w:r>
      <w:r w:rsidRPr="00CD2F30">
        <w:rPr>
          <w:rFonts w:ascii="Verdana" w:hAnsi="Verdana"/>
        </w:rPr>
        <w:t xml:space="preserve">based on the census and Ministry of Finance projections. </w:t>
      </w:r>
    </w:p>
    <w:p w14:paraId="1F9B563E" w14:textId="77777777" w:rsidR="00340588" w:rsidRPr="00340588" w:rsidRDefault="00340588" w:rsidP="00340588">
      <w:pPr>
        <w:pStyle w:val="ListParagraph"/>
        <w:rPr>
          <w:rFonts w:ascii="Verdana" w:hAnsi="Verdana"/>
        </w:rPr>
      </w:pPr>
    </w:p>
    <w:p w14:paraId="5EF36084" w14:textId="77777777" w:rsidR="00CD2F30" w:rsidRDefault="00B252A4" w:rsidP="00CD2F30">
      <w:pPr>
        <w:rPr>
          <w:rFonts w:ascii="Verdana" w:hAnsi="Verdana"/>
          <w:b/>
          <w:sz w:val="22"/>
          <w:szCs w:val="22"/>
        </w:rPr>
      </w:pPr>
      <w:r>
        <w:rPr>
          <w:rFonts w:ascii="Verdana" w:hAnsi="Verdana"/>
          <w:b/>
          <w:sz w:val="22"/>
          <w:szCs w:val="22"/>
        </w:rPr>
        <w:t>6</w:t>
      </w:r>
      <w:r w:rsidR="00CD2F30" w:rsidRPr="00CD2F30">
        <w:rPr>
          <w:rFonts w:ascii="Verdana" w:hAnsi="Verdana"/>
          <w:b/>
          <w:sz w:val="22"/>
          <w:szCs w:val="22"/>
        </w:rPr>
        <w:t xml:space="preserve">. Recommendations to reduce red tape: </w:t>
      </w:r>
    </w:p>
    <w:p w14:paraId="39CA8F48" w14:textId="77777777" w:rsidR="00CD2F30" w:rsidRPr="00CD2F30" w:rsidRDefault="00CD2F30" w:rsidP="00CD2F30">
      <w:pPr>
        <w:rPr>
          <w:rFonts w:ascii="Verdana" w:hAnsi="Verdana"/>
          <w:b/>
          <w:sz w:val="22"/>
          <w:szCs w:val="22"/>
        </w:rPr>
      </w:pPr>
    </w:p>
    <w:p w14:paraId="2AE78324" w14:textId="77777777" w:rsidR="00CD2F30" w:rsidRDefault="00CD2F30" w:rsidP="00CD2F30">
      <w:pPr>
        <w:pStyle w:val="ListParagraph"/>
        <w:numPr>
          <w:ilvl w:val="0"/>
          <w:numId w:val="6"/>
        </w:numPr>
        <w:spacing w:after="0" w:line="240" w:lineRule="auto"/>
        <w:rPr>
          <w:rFonts w:ascii="Verdana" w:hAnsi="Verdana"/>
        </w:rPr>
      </w:pPr>
      <w:r w:rsidRPr="00CD2F30">
        <w:rPr>
          <w:rFonts w:ascii="Verdana" w:hAnsi="Verdana"/>
        </w:rPr>
        <w:t xml:space="preserve">Address housing affordability by getting rid of the right red tape (Section 37). Section 37 is a negotiation process that takes time and resources away from planning, reduces transparency in the planning process and inspires NIMBY’s. </w:t>
      </w:r>
    </w:p>
    <w:p w14:paraId="0E9EC895" w14:textId="77777777" w:rsidR="00E97C44" w:rsidRDefault="00E97C44" w:rsidP="00E97C44">
      <w:pPr>
        <w:pStyle w:val="ListParagraph"/>
        <w:spacing w:after="0" w:line="240" w:lineRule="auto"/>
        <w:rPr>
          <w:rFonts w:ascii="Verdana" w:hAnsi="Verdana"/>
        </w:rPr>
      </w:pPr>
    </w:p>
    <w:p w14:paraId="7C81C10F" w14:textId="77777777" w:rsidR="0076776C" w:rsidRDefault="00CD2F30" w:rsidP="0076776C">
      <w:pPr>
        <w:pStyle w:val="ListParagraph"/>
        <w:numPr>
          <w:ilvl w:val="0"/>
          <w:numId w:val="6"/>
        </w:numPr>
        <w:spacing w:after="0" w:line="240" w:lineRule="auto"/>
        <w:rPr>
          <w:rFonts w:ascii="Verdana" w:hAnsi="Verdana"/>
        </w:rPr>
      </w:pPr>
      <w:r w:rsidRPr="00CD2F30">
        <w:rPr>
          <w:rFonts w:ascii="Verdana" w:hAnsi="Verdana"/>
        </w:rPr>
        <w:t xml:space="preserve">Reduce duplication by enacting data sharing agreements between the Province, Municipalities and Conservation Authorities. </w:t>
      </w:r>
    </w:p>
    <w:p w14:paraId="18D860DA" w14:textId="77777777" w:rsidR="00FE0E96" w:rsidRPr="00FE0E96" w:rsidRDefault="00FE0E96" w:rsidP="00FE0E96">
      <w:pPr>
        <w:pStyle w:val="ListParagraph"/>
        <w:rPr>
          <w:rFonts w:ascii="Verdana" w:hAnsi="Verdana"/>
        </w:rPr>
      </w:pPr>
    </w:p>
    <w:p w14:paraId="40083D2C" w14:textId="77777777" w:rsidR="00FE0E96" w:rsidRPr="00FE0E96" w:rsidRDefault="00FE0E96" w:rsidP="00FE0E96">
      <w:pPr>
        <w:pStyle w:val="ListParagraph"/>
        <w:spacing w:after="0" w:line="240" w:lineRule="auto"/>
        <w:rPr>
          <w:rFonts w:ascii="Verdana" w:hAnsi="Verdana"/>
        </w:rPr>
      </w:pPr>
    </w:p>
    <w:p w14:paraId="171FA0BF" w14:textId="77777777" w:rsidR="0076776C" w:rsidRDefault="0076776C" w:rsidP="00B252A4">
      <w:pPr>
        <w:pStyle w:val="ListParagraph"/>
        <w:numPr>
          <w:ilvl w:val="0"/>
          <w:numId w:val="10"/>
        </w:numPr>
        <w:ind w:left="426" w:hanging="426"/>
        <w:rPr>
          <w:rFonts w:ascii="Verdana" w:hAnsi="Verdana"/>
          <w:b/>
        </w:rPr>
      </w:pPr>
      <w:r w:rsidRPr="00B252A4">
        <w:rPr>
          <w:rFonts w:ascii="Verdana" w:hAnsi="Verdana"/>
          <w:b/>
        </w:rPr>
        <w:t xml:space="preserve">Other recommendations: </w:t>
      </w:r>
    </w:p>
    <w:p w14:paraId="3366781C" w14:textId="77777777" w:rsidR="0076292E" w:rsidRPr="0076292E" w:rsidRDefault="0076292E" w:rsidP="0076292E">
      <w:pPr>
        <w:pStyle w:val="ListParagraph"/>
        <w:ind w:left="426"/>
        <w:rPr>
          <w:rFonts w:ascii="Verdana" w:hAnsi="Verdana"/>
        </w:rPr>
      </w:pPr>
    </w:p>
    <w:p w14:paraId="7D1A90E7" w14:textId="77777777" w:rsidR="00B252A4" w:rsidRDefault="00FE0E96" w:rsidP="00340588">
      <w:pPr>
        <w:pStyle w:val="ListParagraph"/>
        <w:numPr>
          <w:ilvl w:val="0"/>
          <w:numId w:val="11"/>
        </w:numPr>
        <w:spacing w:before="120" w:after="120" w:line="240" w:lineRule="auto"/>
        <w:rPr>
          <w:rFonts w:ascii="Verdana" w:eastAsia="Times New Roman" w:hAnsi="Verdana"/>
          <w:lang w:eastAsia="en-CA"/>
        </w:rPr>
      </w:pPr>
      <w:r>
        <w:rPr>
          <w:rFonts w:ascii="Verdana" w:eastAsia="Times New Roman" w:hAnsi="Verdana"/>
          <w:lang w:eastAsia="en-CA"/>
        </w:rPr>
        <w:t>R</w:t>
      </w:r>
      <w:r w:rsidR="00B252A4" w:rsidRPr="00FE0E96">
        <w:rPr>
          <w:rFonts w:ascii="Verdana" w:eastAsia="Times New Roman" w:hAnsi="Verdana"/>
          <w:lang w:eastAsia="en-CA"/>
        </w:rPr>
        <w:t>aise the profile of Indigenous interests, treaty rights, consultation, and planning approaches and priorities</w:t>
      </w:r>
      <w:r w:rsidR="00340588">
        <w:rPr>
          <w:rFonts w:ascii="Verdana" w:eastAsia="Times New Roman" w:hAnsi="Verdana"/>
          <w:lang w:eastAsia="en-CA"/>
        </w:rPr>
        <w:t>.</w:t>
      </w:r>
    </w:p>
    <w:p w14:paraId="7F35D9BC" w14:textId="77777777" w:rsidR="00FE0E96" w:rsidRPr="00FE0E96" w:rsidRDefault="005E06A8" w:rsidP="00FE0E96">
      <w:pPr>
        <w:numPr>
          <w:ilvl w:val="0"/>
          <w:numId w:val="11"/>
        </w:numPr>
        <w:spacing w:before="120" w:after="120"/>
        <w:contextualSpacing/>
        <w:rPr>
          <w:rFonts w:ascii="Verdana" w:eastAsia="Times New Roman" w:hAnsi="Verdana"/>
          <w:sz w:val="22"/>
          <w:szCs w:val="22"/>
          <w:lang w:eastAsia="en-CA"/>
        </w:rPr>
      </w:pPr>
      <w:r>
        <w:rPr>
          <w:rFonts w:ascii="Verdana" w:eastAsia="Times New Roman" w:hAnsi="Verdana"/>
          <w:sz w:val="22"/>
          <w:szCs w:val="22"/>
          <w:lang w:eastAsia="en-CA"/>
        </w:rPr>
        <w:t>Increase</w:t>
      </w:r>
      <w:r w:rsidR="00FE0E96" w:rsidRPr="00FE0E96">
        <w:rPr>
          <w:rFonts w:ascii="Verdana" w:eastAsia="Times New Roman" w:hAnsi="Verdana"/>
          <w:sz w:val="22"/>
          <w:szCs w:val="22"/>
          <w:lang w:eastAsia="en-CA"/>
        </w:rPr>
        <w:t xml:space="preserve"> support for land securement as a tool for growth management and natural/agricultural/cultural heritage protection, including enabling severances/land subdivision for conservation purposes and associated incentives</w:t>
      </w:r>
      <w:r w:rsidR="00340588">
        <w:rPr>
          <w:rFonts w:ascii="Verdana" w:eastAsia="Times New Roman" w:hAnsi="Verdana"/>
          <w:sz w:val="22"/>
          <w:szCs w:val="22"/>
          <w:lang w:eastAsia="en-CA"/>
        </w:rPr>
        <w:t>.</w:t>
      </w:r>
    </w:p>
    <w:p w14:paraId="4FEF102F" w14:textId="77777777" w:rsidR="00B252A4" w:rsidRDefault="00FE0E96" w:rsidP="001451D2">
      <w:pPr>
        <w:pStyle w:val="ListParagraph"/>
        <w:numPr>
          <w:ilvl w:val="0"/>
          <w:numId w:val="11"/>
        </w:numPr>
        <w:spacing w:before="120" w:after="120" w:line="240" w:lineRule="auto"/>
        <w:ind w:left="714" w:hanging="357"/>
        <w:contextualSpacing w:val="0"/>
        <w:rPr>
          <w:rFonts w:ascii="Verdana" w:hAnsi="Verdana"/>
        </w:rPr>
      </w:pPr>
      <w:r w:rsidRPr="00FE0E96">
        <w:rPr>
          <w:rFonts w:ascii="Verdana" w:hAnsi="Verdana"/>
        </w:rPr>
        <w:t xml:space="preserve">Retain a long-term sustainable approach to growth management that focuses on more than the number of houses built but the vibrancy and resiliency of our communities. </w:t>
      </w:r>
    </w:p>
    <w:p w14:paraId="214CC3E7" w14:textId="6730061A" w:rsidR="00FE0E96" w:rsidRPr="00FE0E96" w:rsidRDefault="00FE0E96" w:rsidP="00410D65">
      <w:pPr>
        <w:pStyle w:val="ListParagraph"/>
        <w:spacing w:before="120" w:after="120" w:line="240" w:lineRule="auto"/>
        <w:ind w:left="714"/>
        <w:contextualSpacing w:val="0"/>
        <w:rPr>
          <w:rFonts w:ascii="Verdana" w:hAnsi="Verdana"/>
        </w:rPr>
      </w:pPr>
    </w:p>
    <w:sectPr w:rsidR="00FE0E96" w:rsidRPr="00FE0E96" w:rsidSect="00410D65">
      <w:headerReference w:type="first" r:id="rId9"/>
      <w:footerReference w:type="first" r:id="rId10"/>
      <w:pgSz w:w="12240" w:h="15840"/>
      <w:pgMar w:top="1134" w:right="1134" w:bottom="1134" w:left="1134"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D763F" w14:textId="77777777" w:rsidR="008F4D11" w:rsidRDefault="008F4D11">
      <w:r>
        <w:separator/>
      </w:r>
    </w:p>
  </w:endnote>
  <w:endnote w:type="continuationSeparator" w:id="0">
    <w:p w14:paraId="2D445951" w14:textId="77777777" w:rsidR="008F4D11" w:rsidRDefault="008F4D11">
      <w:r>
        <w:continuationSeparator/>
      </w:r>
    </w:p>
  </w:endnote>
  <w:endnote w:id="1">
    <w:p w14:paraId="18E0C878" w14:textId="77777777" w:rsidR="004F5276" w:rsidRDefault="004F5276">
      <w:pPr>
        <w:pStyle w:val="EndnoteText"/>
      </w:pPr>
    </w:p>
    <w:p w14:paraId="0277690E" w14:textId="77777777" w:rsidR="004F5276" w:rsidRDefault="004F5276">
      <w:pPr>
        <w:pStyle w:val="EndnoteText"/>
      </w:pPr>
    </w:p>
    <w:p w14:paraId="3A06002C" w14:textId="77777777" w:rsidR="004F5276" w:rsidRDefault="004F5276">
      <w:pPr>
        <w:pStyle w:val="EndnoteText"/>
      </w:pPr>
    </w:p>
    <w:p w14:paraId="134179C5" w14:textId="77777777" w:rsidR="004F5276" w:rsidRDefault="004F5276">
      <w:pPr>
        <w:pStyle w:val="EndnoteText"/>
      </w:pPr>
    </w:p>
    <w:p w14:paraId="51E9469E" w14:textId="77777777" w:rsidR="004F5276" w:rsidRDefault="004F5276">
      <w:pPr>
        <w:pStyle w:val="EndnoteText"/>
      </w:pPr>
    </w:p>
    <w:p w14:paraId="7D47033F" w14:textId="77777777" w:rsidR="004F5276" w:rsidRDefault="004F5276">
      <w:pPr>
        <w:pStyle w:val="EndnoteText"/>
      </w:pPr>
    </w:p>
    <w:p w14:paraId="28547EA6" w14:textId="77777777" w:rsidR="004F5276" w:rsidRDefault="004F5276">
      <w:pPr>
        <w:pStyle w:val="EndnoteText"/>
      </w:pPr>
    </w:p>
    <w:p w14:paraId="4C8B7C66" w14:textId="77777777" w:rsidR="004F5276" w:rsidRDefault="004F5276">
      <w:pPr>
        <w:pStyle w:val="EndnoteText"/>
      </w:pPr>
    </w:p>
    <w:p w14:paraId="1E302395" w14:textId="77777777" w:rsidR="004F5276" w:rsidRDefault="004F5276">
      <w:pPr>
        <w:pStyle w:val="EndnoteText"/>
      </w:pPr>
    </w:p>
    <w:p w14:paraId="37D1CC64" w14:textId="030280BE" w:rsidR="004F5276" w:rsidRDefault="004F5276">
      <w:pPr>
        <w:pStyle w:val="EndnoteText"/>
      </w:pPr>
    </w:p>
    <w:p w14:paraId="1211B053" w14:textId="77777777" w:rsidR="00CA2AB0" w:rsidRDefault="00CA2AB0">
      <w:pPr>
        <w:pStyle w:val="EndnoteText"/>
      </w:pPr>
    </w:p>
    <w:p w14:paraId="069AFA30" w14:textId="77777777" w:rsidR="004F5276" w:rsidRDefault="004F5276">
      <w:pPr>
        <w:pStyle w:val="EndnoteText"/>
      </w:pPr>
    </w:p>
    <w:p w14:paraId="027CBF76" w14:textId="77777777" w:rsidR="004F5276" w:rsidRDefault="004F5276">
      <w:pPr>
        <w:pStyle w:val="EndnoteText"/>
      </w:pPr>
    </w:p>
    <w:p w14:paraId="06C9B1F1" w14:textId="77777777" w:rsidR="004F5276" w:rsidRDefault="004F5276">
      <w:pPr>
        <w:pStyle w:val="EndnoteText"/>
      </w:pPr>
    </w:p>
    <w:p w14:paraId="7F5B7B77" w14:textId="77777777" w:rsidR="004F5276" w:rsidRPr="00736D38" w:rsidRDefault="004F5276">
      <w:pPr>
        <w:pStyle w:val="EndnoteText"/>
        <w:rPr>
          <w:rFonts w:ascii="Verdana" w:hAnsi="Verdana"/>
          <w:b/>
          <w:sz w:val="22"/>
          <w:szCs w:val="22"/>
        </w:rPr>
      </w:pPr>
      <w:r w:rsidRPr="00736D38">
        <w:rPr>
          <w:rFonts w:ascii="Verdana" w:hAnsi="Verdana"/>
          <w:b/>
          <w:sz w:val="22"/>
          <w:szCs w:val="22"/>
        </w:rPr>
        <w:t xml:space="preserve">Appendix 1 – </w:t>
      </w:r>
      <w:r w:rsidR="00931F93">
        <w:rPr>
          <w:rFonts w:ascii="Verdana" w:hAnsi="Verdana"/>
          <w:b/>
          <w:sz w:val="22"/>
          <w:szCs w:val="22"/>
        </w:rPr>
        <w:t xml:space="preserve">Excerpt from </w:t>
      </w:r>
      <w:r w:rsidRPr="00736D38">
        <w:rPr>
          <w:rFonts w:ascii="Verdana" w:hAnsi="Verdana"/>
          <w:b/>
          <w:sz w:val="22"/>
          <w:szCs w:val="22"/>
        </w:rPr>
        <w:t>Housing submission, Environmental Defence Canada</w:t>
      </w:r>
    </w:p>
    <w:p w14:paraId="739C700D" w14:textId="77777777" w:rsidR="004F5276" w:rsidRDefault="004F5276">
      <w:pPr>
        <w:pStyle w:val="EndnoteText"/>
        <w:rPr>
          <w:rFonts w:ascii="Verdana" w:hAnsi="Verdana"/>
          <w:sz w:val="22"/>
          <w:szCs w:val="22"/>
        </w:rPr>
      </w:pPr>
    </w:p>
    <w:p w14:paraId="53838B3F" w14:textId="77777777" w:rsidR="004F5276" w:rsidRPr="00736D38" w:rsidRDefault="004F5276" w:rsidP="00736D38">
      <w:pPr>
        <w:rPr>
          <w:rFonts w:eastAsia="Times New Roman"/>
          <w:lang w:eastAsia="en-CA"/>
        </w:rPr>
      </w:pPr>
    </w:p>
    <w:p w14:paraId="7881D8B5" w14:textId="77777777" w:rsidR="004F5276" w:rsidRPr="00736D38" w:rsidRDefault="004F5276" w:rsidP="00736D38">
      <w:pPr>
        <w:rPr>
          <w:rFonts w:eastAsia="Times New Roman"/>
          <w:lang w:eastAsia="en-CA"/>
        </w:rPr>
      </w:pPr>
      <w:r w:rsidRPr="00736D38">
        <w:rPr>
          <w:rFonts w:ascii="Verdana" w:eastAsia="Times New Roman" w:hAnsi="Verdana"/>
          <w:color w:val="000000"/>
          <w:sz w:val="22"/>
          <w:szCs w:val="22"/>
          <w:lang w:eastAsia="en-CA"/>
        </w:rPr>
        <w:t>Increasing Housing Supply in Ontario, ERO #013-4190</w:t>
      </w:r>
    </w:p>
    <w:p w14:paraId="28639C61" w14:textId="77777777" w:rsidR="004F5276" w:rsidRPr="00736D38" w:rsidRDefault="004F5276" w:rsidP="00736D38">
      <w:pPr>
        <w:rPr>
          <w:rFonts w:ascii="Verdana" w:hAnsi="Verdana"/>
          <w:sz w:val="22"/>
          <w:szCs w:val="22"/>
        </w:rPr>
      </w:pPr>
    </w:p>
    <w:p w14:paraId="1072FC33" w14:textId="77777777" w:rsidR="004F5276" w:rsidRPr="00736D38" w:rsidRDefault="004F5276" w:rsidP="00736D38">
      <w:pPr>
        <w:rPr>
          <w:rFonts w:ascii="Verdana" w:hAnsi="Verdana"/>
          <w:sz w:val="22"/>
          <w:szCs w:val="22"/>
        </w:rPr>
      </w:pPr>
    </w:p>
    <w:p w14:paraId="2641E488" w14:textId="77777777" w:rsidR="004F5276" w:rsidRPr="00736D38" w:rsidRDefault="004F5276" w:rsidP="00736D38">
      <w:pPr>
        <w:spacing w:line="480" w:lineRule="auto"/>
        <w:rPr>
          <w:rFonts w:ascii="Verdana" w:hAnsi="Verdana"/>
          <w:b/>
          <w:sz w:val="22"/>
          <w:szCs w:val="22"/>
        </w:rPr>
      </w:pPr>
      <w:r w:rsidRPr="00736D38">
        <w:rPr>
          <w:rFonts w:ascii="Verdana" w:hAnsi="Verdana"/>
          <w:b/>
          <w:sz w:val="22"/>
          <w:szCs w:val="22"/>
        </w:rPr>
        <w:t>Table of Contents</w:t>
      </w:r>
    </w:p>
    <w:p w14:paraId="48E8EB21" w14:textId="77777777" w:rsidR="004F5276" w:rsidRPr="00736D38" w:rsidRDefault="004F5276" w:rsidP="00736D38">
      <w:pPr>
        <w:numPr>
          <w:ilvl w:val="0"/>
          <w:numId w:val="15"/>
        </w:numPr>
        <w:spacing w:line="480" w:lineRule="auto"/>
        <w:rPr>
          <w:rFonts w:ascii="Verdana" w:hAnsi="Verdana"/>
          <w:sz w:val="22"/>
          <w:szCs w:val="22"/>
        </w:rPr>
      </w:pPr>
      <w:r w:rsidRPr="00736D38">
        <w:rPr>
          <w:rFonts w:ascii="Verdana" w:hAnsi="Verdana"/>
          <w:sz w:val="22"/>
          <w:szCs w:val="22"/>
        </w:rPr>
        <w:t>There is enough land</w:t>
      </w:r>
    </w:p>
    <w:p w14:paraId="2A9133E5" w14:textId="77777777" w:rsidR="004F5276" w:rsidRPr="00736D38" w:rsidRDefault="004F5276" w:rsidP="00736D38">
      <w:pPr>
        <w:numPr>
          <w:ilvl w:val="0"/>
          <w:numId w:val="15"/>
        </w:numPr>
        <w:spacing w:line="480" w:lineRule="auto"/>
        <w:rPr>
          <w:rFonts w:ascii="Verdana" w:hAnsi="Verdana"/>
          <w:sz w:val="22"/>
          <w:szCs w:val="22"/>
        </w:rPr>
      </w:pPr>
      <w:r w:rsidRPr="00736D38">
        <w:rPr>
          <w:rFonts w:ascii="Verdana" w:hAnsi="Verdana"/>
          <w:sz w:val="22"/>
          <w:szCs w:val="22"/>
        </w:rPr>
        <w:t>Is there a housing supply issue?</w:t>
      </w:r>
    </w:p>
    <w:p w14:paraId="1F80A90B" w14:textId="77777777" w:rsidR="004F5276" w:rsidRPr="00736D38" w:rsidRDefault="004F5276" w:rsidP="00736D38">
      <w:pPr>
        <w:numPr>
          <w:ilvl w:val="1"/>
          <w:numId w:val="15"/>
        </w:numPr>
        <w:spacing w:line="480" w:lineRule="auto"/>
        <w:rPr>
          <w:rFonts w:ascii="Verdana" w:hAnsi="Verdana"/>
          <w:sz w:val="22"/>
          <w:szCs w:val="22"/>
        </w:rPr>
      </w:pPr>
      <w:r w:rsidRPr="00736D38">
        <w:rPr>
          <w:rFonts w:ascii="Verdana" w:hAnsi="Verdana"/>
          <w:sz w:val="22"/>
          <w:szCs w:val="22"/>
        </w:rPr>
        <w:t xml:space="preserve">Housing supply case study- York Region </w:t>
      </w:r>
    </w:p>
    <w:p w14:paraId="25E1BE19" w14:textId="77777777" w:rsidR="004F5276" w:rsidRPr="00736D38" w:rsidRDefault="004F5276" w:rsidP="00736D38">
      <w:pPr>
        <w:numPr>
          <w:ilvl w:val="1"/>
          <w:numId w:val="15"/>
        </w:numPr>
        <w:spacing w:line="480" w:lineRule="auto"/>
        <w:rPr>
          <w:rFonts w:ascii="Verdana" w:hAnsi="Verdana"/>
          <w:sz w:val="22"/>
          <w:szCs w:val="22"/>
        </w:rPr>
      </w:pPr>
      <w:r w:rsidRPr="00736D38">
        <w:rPr>
          <w:rFonts w:ascii="Verdana" w:hAnsi="Verdana"/>
          <w:sz w:val="22"/>
          <w:szCs w:val="22"/>
        </w:rPr>
        <w:t>The type of housing we need</w:t>
      </w:r>
    </w:p>
    <w:p w14:paraId="60469A46" w14:textId="77777777" w:rsidR="004F5276" w:rsidRPr="00736D38" w:rsidRDefault="004F5276" w:rsidP="00736D38">
      <w:pPr>
        <w:spacing w:line="480" w:lineRule="auto"/>
        <w:ind w:left="720"/>
        <w:rPr>
          <w:rFonts w:ascii="Verdana" w:eastAsia="Times New Roman" w:hAnsi="Verdana"/>
          <w:bCs/>
          <w:color w:val="000000"/>
          <w:sz w:val="22"/>
          <w:szCs w:val="22"/>
          <w:lang w:eastAsia="en-CA"/>
        </w:rPr>
      </w:pPr>
      <w:r w:rsidRPr="00736D38">
        <w:rPr>
          <w:rFonts w:ascii="Verdana" w:eastAsia="Times New Roman" w:hAnsi="Verdana"/>
          <w:bCs/>
          <w:color w:val="000000"/>
          <w:sz w:val="22"/>
          <w:szCs w:val="22"/>
          <w:lang w:eastAsia="en-CA"/>
        </w:rPr>
        <w:t>2.3</w:t>
      </w:r>
      <w:r w:rsidRPr="00736D38">
        <w:rPr>
          <w:rFonts w:ascii="Verdana" w:eastAsia="Times New Roman" w:hAnsi="Verdana"/>
          <w:bCs/>
          <w:color w:val="000000"/>
          <w:sz w:val="22"/>
          <w:szCs w:val="22"/>
          <w:lang w:eastAsia="en-CA"/>
        </w:rPr>
        <w:tab/>
        <w:t xml:space="preserve">If we designate more land for housing will it reduce the price of housing? </w:t>
      </w:r>
    </w:p>
    <w:p w14:paraId="0F995D6D" w14:textId="77777777" w:rsidR="004F5276" w:rsidRPr="00736D38" w:rsidRDefault="004F5276" w:rsidP="00736D38">
      <w:pPr>
        <w:numPr>
          <w:ilvl w:val="0"/>
          <w:numId w:val="15"/>
        </w:numPr>
        <w:spacing w:line="480" w:lineRule="auto"/>
        <w:rPr>
          <w:rFonts w:ascii="Verdana" w:hAnsi="Verdana"/>
          <w:sz w:val="22"/>
          <w:szCs w:val="22"/>
        </w:rPr>
      </w:pPr>
      <w:r w:rsidRPr="00736D38">
        <w:rPr>
          <w:rFonts w:ascii="Verdana" w:hAnsi="Verdana"/>
          <w:sz w:val="22"/>
          <w:szCs w:val="22"/>
        </w:rPr>
        <w:t>It takes too long for bring housing to market</w:t>
      </w:r>
    </w:p>
    <w:p w14:paraId="09A1EAF4" w14:textId="77777777" w:rsidR="004F5276" w:rsidRPr="00736D38" w:rsidRDefault="004F5276" w:rsidP="00736D38">
      <w:pPr>
        <w:numPr>
          <w:ilvl w:val="0"/>
          <w:numId w:val="15"/>
        </w:numPr>
        <w:spacing w:line="480" w:lineRule="auto"/>
        <w:rPr>
          <w:rFonts w:ascii="Verdana" w:hAnsi="Verdana"/>
          <w:sz w:val="22"/>
          <w:szCs w:val="22"/>
        </w:rPr>
      </w:pPr>
      <w:r w:rsidRPr="00736D38">
        <w:rPr>
          <w:rFonts w:ascii="Verdana" w:hAnsi="Verdana"/>
          <w:sz w:val="22"/>
          <w:szCs w:val="22"/>
        </w:rPr>
        <w:t>Employment area conversions</w:t>
      </w:r>
    </w:p>
    <w:p w14:paraId="23BF49A4" w14:textId="77777777" w:rsidR="004F5276" w:rsidRDefault="004F5276" w:rsidP="00736D38">
      <w:pPr>
        <w:spacing w:line="360" w:lineRule="auto"/>
        <w:rPr>
          <w:rFonts w:ascii="Verdana" w:hAnsi="Verdana"/>
          <w:sz w:val="22"/>
          <w:szCs w:val="22"/>
        </w:rPr>
      </w:pPr>
    </w:p>
    <w:p w14:paraId="7C78D87D" w14:textId="77777777" w:rsidR="004F5276" w:rsidRPr="00736D38" w:rsidRDefault="004F5276" w:rsidP="00736D38">
      <w:pPr>
        <w:numPr>
          <w:ilvl w:val="0"/>
          <w:numId w:val="13"/>
        </w:numPr>
        <w:rPr>
          <w:rFonts w:eastAsia="Times New Roman"/>
          <w:lang w:eastAsia="en-CA"/>
        </w:rPr>
      </w:pPr>
      <w:r w:rsidRPr="00736D38">
        <w:rPr>
          <w:rFonts w:ascii="Verdana" w:eastAsia="Times New Roman" w:hAnsi="Verdana"/>
          <w:b/>
          <w:color w:val="000000"/>
          <w:sz w:val="22"/>
          <w:szCs w:val="22"/>
          <w:lang w:eastAsia="en-CA"/>
        </w:rPr>
        <w:t xml:space="preserve"> </w:t>
      </w:r>
      <w:r w:rsidRPr="00736D38">
        <w:rPr>
          <w:rFonts w:ascii="Verdana" w:eastAsia="Times New Roman" w:hAnsi="Verdana"/>
          <w:b/>
          <w:color w:val="000000"/>
          <w:sz w:val="22"/>
          <w:szCs w:val="22"/>
          <w:lang w:eastAsia="en-CA"/>
        </w:rPr>
        <w:tab/>
        <w:t>There is enough land</w:t>
      </w:r>
      <w:r w:rsidRPr="00736D38">
        <w:rPr>
          <w:rFonts w:ascii="Verdana" w:eastAsia="Times New Roman" w:hAnsi="Verdana"/>
          <w:color w:val="000000"/>
          <w:sz w:val="22"/>
          <w:szCs w:val="22"/>
          <w:lang w:eastAsia="en-CA"/>
        </w:rPr>
        <w:t xml:space="preserve">. </w:t>
      </w:r>
    </w:p>
    <w:p w14:paraId="4316314A" w14:textId="77777777" w:rsidR="004F5276" w:rsidRPr="00736D38" w:rsidRDefault="004F5276" w:rsidP="00736D38">
      <w:pPr>
        <w:ind w:left="405"/>
        <w:rPr>
          <w:rFonts w:eastAsia="Times New Roman"/>
          <w:lang w:eastAsia="en-CA"/>
        </w:rPr>
      </w:pPr>
    </w:p>
    <w:p w14:paraId="456DC3B7" w14:textId="77777777" w:rsidR="004F5276" w:rsidRPr="00736D38" w:rsidRDefault="004F5276" w:rsidP="00736D38">
      <w:pPr>
        <w:rPr>
          <w:rFonts w:ascii="Verdana" w:eastAsia="Times New Roman" w:hAnsi="Verdana"/>
          <w:color w:val="000000"/>
          <w:sz w:val="22"/>
          <w:szCs w:val="22"/>
          <w:lang w:eastAsia="en-CA"/>
        </w:rPr>
      </w:pPr>
      <w:r w:rsidRPr="00736D38">
        <w:rPr>
          <w:rFonts w:ascii="Verdana" w:eastAsia="Times New Roman" w:hAnsi="Verdana"/>
          <w:color w:val="000000"/>
          <w:sz w:val="22"/>
          <w:szCs w:val="22"/>
          <w:lang w:eastAsia="en-CA"/>
        </w:rPr>
        <w:t>There is 310,000 acres or 125, 560 hectares of unbuilt land within existing urban boundaries. This is sufficient supply for housing needs from now until 2031. If Growth Plan density targets are followed the land set aside to 2031 can last to 2041.</w:t>
      </w:r>
      <w:r w:rsidRPr="00736D38">
        <w:rPr>
          <w:rFonts w:ascii="Verdana" w:eastAsia="Times New Roman" w:hAnsi="Verdana"/>
          <w:color w:val="000000"/>
          <w:sz w:val="22"/>
          <w:szCs w:val="22"/>
          <w:vertAlign w:val="superscript"/>
          <w:lang w:eastAsia="en-CA"/>
        </w:rPr>
        <w:endnoteRef/>
      </w:r>
      <w:r w:rsidRPr="00736D38">
        <w:rPr>
          <w:rFonts w:ascii="Verdana" w:eastAsia="Times New Roman" w:hAnsi="Verdana"/>
          <w:color w:val="000000"/>
          <w:sz w:val="22"/>
          <w:szCs w:val="22"/>
          <w:lang w:eastAsia="en-CA"/>
        </w:rPr>
        <w:t xml:space="preserve">  Opening up the whitebelt for development will only add unnecessarily to developable land supply and do nothing to change the housing supply mix or alleviate housing prices. </w:t>
      </w:r>
    </w:p>
    <w:p w14:paraId="1EFA2989" w14:textId="77777777" w:rsidR="004F5276" w:rsidRPr="00736D38" w:rsidRDefault="004F5276" w:rsidP="00736D38">
      <w:pPr>
        <w:rPr>
          <w:rFonts w:eastAsia="Times New Roman"/>
          <w:lang w:eastAsia="en-CA"/>
        </w:rPr>
      </w:pPr>
    </w:p>
    <w:p w14:paraId="7E182F61" w14:textId="77777777" w:rsidR="004F5276" w:rsidRPr="00736D38" w:rsidRDefault="004F5276" w:rsidP="00736D38">
      <w:pPr>
        <w:numPr>
          <w:ilvl w:val="0"/>
          <w:numId w:val="12"/>
        </w:numPr>
        <w:rPr>
          <w:rFonts w:eastAsia="Times New Roman"/>
          <w:b/>
          <w:lang w:eastAsia="en-CA"/>
        </w:rPr>
      </w:pPr>
      <w:r w:rsidRPr="00736D38">
        <w:rPr>
          <w:rFonts w:ascii="Verdana" w:eastAsia="Times New Roman" w:hAnsi="Verdana"/>
          <w:b/>
          <w:color w:val="000000"/>
          <w:sz w:val="22"/>
          <w:szCs w:val="22"/>
          <w:lang w:eastAsia="en-CA"/>
        </w:rPr>
        <w:t xml:space="preserve"> </w:t>
      </w:r>
      <w:r w:rsidRPr="00736D38">
        <w:rPr>
          <w:rFonts w:ascii="Verdana" w:eastAsia="Times New Roman" w:hAnsi="Verdana"/>
          <w:b/>
          <w:color w:val="000000"/>
          <w:sz w:val="22"/>
          <w:szCs w:val="22"/>
          <w:lang w:eastAsia="en-CA"/>
        </w:rPr>
        <w:tab/>
        <w:t>Is there a housing supply issue?</w:t>
      </w:r>
    </w:p>
    <w:p w14:paraId="00DE8870" w14:textId="77777777" w:rsidR="004F5276" w:rsidRPr="00736D38" w:rsidRDefault="004F5276" w:rsidP="00736D38">
      <w:pPr>
        <w:ind w:left="720"/>
        <w:rPr>
          <w:rFonts w:eastAsia="Times New Roman"/>
          <w:b/>
          <w:lang w:eastAsia="en-CA"/>
        </w:rPr>
      </w:pPr>
    </w:p>
    <w:p w14:paraId="7424EF40" w14:textId="77777777" w:rsidR="004F5276" w:rsidRPr="00736D38" w:rsidRDefault="004F5276" w:rsidP="00736D38">
      <w:pPr>
        <w:rPr>
          <w:rFonts w:ascii="Verdana" w:eastAsia="Times New Roman" w:hAnsi="Verdana"/>
          <w:color w:val="000000"/>
          <w:sz w:val="22"/>
          <w:szCs w:val="22"/>
          <w:lang w:eastAsia="en-CA"/>
        </w:rPr>
      </w:pPr>
      <w:r w:rsidRPr="00736D38">
        <w:rPr>
          <w:rFonts w:ascii="Verdana" w:eastAsia="Times New Roman" w:hAnsi="Verdana"/>
          <w:color w:val="000000"/>
          <w:sz w:val="22"/>
          <w:szCs w:val="22"/>
          <w:lang w:eastAsia="en-CA"/>
        </w:rPr>
        <w:t xml:space="preserve">The Provincial Policy Statement, 2014 (PPS) requires municipalities to maintain a three year supply of registered and draft approved housing, as well as a 10 year supply of lands designated for residential development. Municipalities are planning for 2041 now. Increasing the supply of land beyond 2041 will do nothing to increase the supply of housing today even if constrained land supply was a current limiting factor, which it is not. </w:t>
      </w:r>
    </w:p>
    <w:p w14:paraId="47FB5DCA" w14:textId="77777777" w:rsidR="004F5276" w:rsidRPr="00736D38" w:rsidRDefault="004F5276" w:rsidP="00736D38">
      <w:pPr>
        <w:rPr>
          <w:rFonts w:eastAsia="Times New Roman"/>
          <w:lang w:eastAsia="en-CA"/>
        </w:rPr>
      </w:pPr>
    </w:p>
    <w:p w14:paraId="1149F736" w14:textId="77777777" w:rsidR="004F5276" w:rsidRPr="00736D38" w:rsidRDefault="004F5276" w:rsidP="00736D38">
      <w:pPr>
        <w:rPr>
          <w:rFonts w:ascii="Verdana" w:eastAsia="Times New Roman" w:hAnsi="Verdana"/>
          <w:sz w:val="22"/>
          <w:szCs w:val="22"/>
          <w:lang w:eastAsia="en-CA"/>
        </w:rPr>
      </w:pPr>
      <w:r w:rsidRPr="00736D38">
        <w:rPr>
          <w:rFonts w:ascii="Verdana" w:eastAsia="Times New Roman" w:hAnsi="Verdana"/>
          <w:sz w:val="22"/>
          <w:szCs w:val="22"/>
          <w:lang w:eastAsia="en-CA"/>
        </w:rPr>
        <w:t xml:space="preserve">When we project housing allocation it is important to consider existing housing.  An estimated 700,000 resale homes are coming on the market in the Greater Toronto Area over the next 20 years as baby boomers move on. Most of this housing is single family homes. Assuming 2.9 people per home these houses could accommodate over 2 million people. Allowing secondary units in existing housing or allowing conversions of large homes to multiplexes increases our ability to provide needed housing. When forecasting our future housing needs it is important to consider how to make better use of our existing housing stock.  </w:t>
      </w:r>
    </w:p>
    <w:p w14:paraId="5D9D8A83" w14:textId="77777777" w:rsidR="004F5276" w:rsidRPr="00736D38" w:rsidRDefault="004F5276" w:rsidP="00736D38">
      <w:pPr>
        <w:rPr>
          <w:rFonts w:eastAsia="Times New Roman"/>
          <w:lang w:eastAsia="en-CA"/>
        </w:rPr>
      </w:pPr>
    </w:p>
    <w:p w14:paraId="7FD7B0C2" w14:textId="77777777" w:rsidR="004F5276" w:rsidRPr="00736D38" w:rsidRDefault="004F5276" w:rsidP="00736D38">
      <w:pPr>
        <w:rPr>
          <w:rFonts w:eastAsia="Times New Roman"/>
          <w:lang w:eastAsia="en-CA"/>
        </w:rPr>
      </w:pPr>
      <w:r w:rsidRPr="00736D38">
        <w:rPr>
          <w:rFonts w:ascii="Verdana" w:eastAsia="Times New Roman" w:hAnsi="Verdana"/>
          <w:color w:val="000000"/>
          <w:sz w:val="22"/>
          <w:szCs w:val="22"/>
          <w:lang w:eastAsia="en-CA"/>
        </w:rPr>
        <w:t xml:space="preserve">We need policies that encourage developers to build the type of housing we need, more rental housing for seniors and young people and smaller homes that allow seniors to downsize. </w:t>
      </w:r>
    </w:p>
    <w:p w14:paraId="10A4F545" w14:textId="77777777" w:rsidR="004F5276" w:rsidRPr="00736D38" w:rsidRDefault="004F5276" w:rsidP="00736D38">
      <w:pPr>
        <w:spacing w:after="240"/>
        <w:rPr>
          <w:rFonts w:eastAsia="Times New Roman"/>
          <w:lang w:eastAsia="en-CA"/>
        </w:rPr>
      </w:pPr>
      <w:r w:rsidRPr="00736D38">
        <w:rPr>
          <w:rFonts w:eastAsia="Times New Roman"/>
          <w:lang w:eastAsia="en-CA"/>
        </w:rPr>
        <w:br/>
      </w:r>
      <w:r w:rsidRPr="00736D38">
        <w:rPr>
          <w:rFonts w:ascii="Verdana" w:eastAsia="Times New Roman" w:hAnsi="Verdana"/>
          <w:b/>
          <w:bCs/>
          <w:color w:val="000000"/>
          <w:sz w:val="22"/>
          <w:szCs w:val="22"/>
          <w:lang w:eastAsia="en-CA"/>
        </w:rPr>
        <w:t>2.1</w:t>
      </w:r>
      <w:r w:rsidRPr="00736D38">
        <w:rPr>
          <w:rFonts w:ascii="Verdana" w:eastAsia="Times New Roman" w:hAnsi="Verdana"/>
          <w:b/>
          <w:bCs/>
          <w:color w:val="000000"/>
          <w:sz w:val="22"/>
          <w:szCs w:val="22"/>
          <w:lang w:eastAsia="en-CA"/>
        </w:rPr>
        <w:tab/>
        <w:t>Housing Supply Case Study - York Region</w:t>
      </w:r>
    </w:p>
    <w:p w14:paraId="23621609" w14:textId="77777777" w:rsidR="004F5276" w:rsidRPr="00736D38" w:rsidRDefault="004F5276" w:rsidP="00736D38">
      <w:pPr>
        <w:rPr>
          <w:rFonts w:eastAsia="Times New Roman"/>
          <w:lang w:eastAsia="en-CA"/>
        </w:rPr>
      </w:pPr>
      <w:r w:rsidRPr="00736D38">
        <w:rPr>
          <w:rFonts w:ascii="Verdana" w:eastAsia="Times New Roman" w:hAnsi="Verdana"/>
          <w:color w:val="000000"/>
          <w:sz w:val="22"/>
          <w:szCs w:val="22"/>
          <w:lang w:eastAsia="en-CA"/>
        </w:rPr>
        <w:t xml:space="preserve">A 2016 Housing report from the Region of York identified a good supply of housing with 15,930 registered and 26,980 draft approved units by structure type in the Region as of mid-year 2016. Together, the Region’s registered and draft approved supply is an estimated 42,910 units. The forecast demand is (9,000 units/year) indicating a five year supply of housing ready to be built. </w:t>
      </w:r>
    </w:p>
    <w:p w14:paraId="04F41311" w14:textId="77777777" w:rsidR="004F5276" w:rsidRPr="00736D38" w:rsidRDefault="004F5276" w:rsidP="00736D38">
      <w:pPr>
        <w:rPr>
          <w:rFonts w:ascii="Verdana" w:eastAsia="Times New Roman" w:hAnsi="Verdana"/>
          <w:color w:val="000000"/>
          <w:sz w:val="22"/>
          <w:szCs w:val="22"/>
          <w:lang w:eastAsia="en-CA"/>
        </w:rPr>
      </w:pPr>
    </w:p>
    <w:p w14:paraId="228C24B5" w14:textId="77777777" w:rsidR="004F5276" w:rsidRPr="00736D38" w:rsidRDefault="004F5276" w:rsidP="00736D38">
      <w:pPr>
        <w:rPr>
          <w:rFonts w:eastAsia="Times New Roman"/>
          <w:lang w:eastAsia="en-CA"/>
        </w:rPr>
      </w:pPr>
      <w:r w:rsidRPr="00736D38">
        <w:rPr>
          <w:rFonts w:ascii="Verdana" w:eastAsia="Times New Roman" w:hAnsi="Verdana"/>
          <w:color w:val="000000"/>
          <w:sz w:val="22"/>
          <w:szCs w:val="22"/>
          <w:lang w:eastAsia="en-CA"/>
        </w:rPr>
        <w:t>York Region has regional water and wastewater capacity for 227,700 people or 82,600 units. Given that the Region’s 42,910 units of registered and draft approved supply account for only 52% of this total, there is sufficient servicing capacity at the regional level to accommodate more than the five years of registered and draft approved units for future growth. Housing supply today is clearly not an issue in York Region.</w:t>
      </w:r>
    </w:p>
    <w:p w14:paraId="7568E9B3" w14:textId="77777777" w:rsidR="004F5276" w:rsidRPr="00736D38" w:rsidRDefault="004F5276" w:rsidP="00736D38">
      <w:pPr>
        <w:rPr>
          <w:rFonts w:eastAsia="Times New Roman"/>
          <w:lang w:eastAsia="en-CA"/>
        </w:rPr>
      </w:pPr>
    </w:p>
    <w:p w14:paraId="54DA6FD6" w14:textId="77777777" w:rsidR="004F5276" w:rsidRPr="00736D38" w:rsidRDefault="004F5276" w:rsidP="00736D38">
      <w:pPr>
        <w:rPr>
          <w:rFonts w:eastAsia="Times New Roman"/>
          <w:lang w:eastAsia="en-CA"/>
        </w:rPr>
      </w:pPr>
      <w:r w:rsidRPr="00736D38">
        <w:rPr>
          <w:rFonts w:ascii="Verdana" w:eastAsia="Times New Roman" w:hAnsi="Verdana"/>
          <w:color w:val="000000"/>
          <w:sz w:val="22"/>
          <w:szCs w:val="22"/>
          <w:lang w:eastAsia="en-CA"/>
        </w:rPr>
        <w:t>There is enough housing in the supply pipeline but the housing is being built slowly to keep demand and prices high.</w:t>
      </w:r>
    </w:p>
    <w:p w14:paraId="5B014FAA" w14:textId="77777777" w:rsidR="004F5276" w:rsidRPr="00736D38" w:rsidRDefault="004F5276" w:rsidP="00736D38">
      <w:pPr>
        <w:rPr>
          <w:rFonts w:ascii="Verdana" w:eastAsia="Times New Roman" w:hAnsi="Verdana"/>
          <w:b/>
          <w:bCs/>
          <w:color w:val="000000"/>
          <w:sz w:val="22"/>
          <w:szCs w:val="22"/>
          <w:lang w:eastAsia="en-CA"/>
        </w:rPr>
      </w:pPr>
    </w:p>
    <w:p w14:paraId="5C5A0E50" w14:textId="77777777" w:rsidR="004F5276" w:rsidRPr="00736D38" w:rsidRDefault="004F5276" w:rsidP="00736D38">
      <w:pPr>
        <w:rPr>
          <w:rFonts w:ascii="Verdana" w:eastAsia="Times New Roman" w:hAnsi="Verdana"/>
          <w:b/>
          <w:bCs/>
          <w:color w:val="000000"/>
          <w:sz w:val="22"/>
          <w:szCs w:val="22"/>
          <w:lang w:eastAsia="en-CA"/>
        </w:rPr>
      </w:pPr>
    </w:p>
    <w:p w14:paraId="05E3FFF0" w14:textId="77777777" w:rsidR="004F5276" w:rsidRPr="00736D38" w:rsidRDefault="004F5276" w:rsidP="00736D38">
      <w:pPr>
        <w:rPr>
          <w:rFonts w:ascii="Verdana" w:eastAsia="Times New Roman" w:hAnsi="Verdana"/>
          <w:b/>
          <w:bCs/>
          <w:color w:val="000000"/>
          <w:sz w:val="22"/>
          <w:szCs w:val="22"/>
          <w:lang w:eastAsia="en-CA"/>
        </w:rPr>
      </w:pPr>
      <w:r w:rsidRPr="00736D38">
        <w:rPr>
          <w:rFonts w:ascii="Verdana" w:eastAsia="Times New Roman" w:hAnsi="Verdana"/>
          <w:b/>
          <w:bCs/>
          <w:color w:val="000000"/>
          <w:sz w:val="22"/>
          <w:szCs w:val="22"/>
          <w:lang w:eastAsia="en-CA"/>
        </w:rPr>
        <w:t>2.2</w:t>
      </w:r>
      <w:r w:rsidRPr="00736D38">
        <w:rPr>
          <w:rFonts w:ascii="Verdana" w:eastAsia="Times New Roman" w:hAnsi="Verdana"/>
          <w:b/>
          <w:bCs/>
          <w:color w:val="000000"/>
          <w:sz w:val="22"/>
          <w:szCs w:val="22"/>
          <w:lang w:eastAsia="en-CA"/>
        </w:rPr>
        <w:tab/>
        <w:t>The Type of Housing we need</w:t>
      </w:r>
    </w:p>
    <w:p w14:paraId="16DE4ABE" w14:textId="77777777" w:rsidR="004F5276" w:rsidRPr="00736D38" w:rsidRDefault="004F5276" w:rsidP="00104BA4">
      <w:pPr>
        <w:rPr>
          <w:lang w:eastAsia="en-CA"/>
        </w:rPr>
      </w:pPr>
    </w:p>
    <w:p w14:paraId="68E62979" w14:textId="77777777" w:rsidR="004F5276" w:rsidRPr="00736D38" w:rsidRDefault="004F5276" w:rsidP="00736D38">
      <w:pPr>
        <w:rPr>
          <w:rFonts w:ascii="Verdana" w:eastAsia="Times New Roman" w:hAnsi="Verdana"/>
          <w:color w:val="000000"/>
          <w:sz w:val="22"/>
          <w:szCs w:val="22"/>
          <w:lang w:eastAsia="en-CA"/>
        </w:rPr>
      </w:pPr>
      <w:r w:rsidRPr="00736D38">
        <w:rPr>
          <w:rFonts w:ascii="Verdana" w:eastAsia="Times New Roman" w:hAnsi="Verdana"/>
          <w:color w:val="000000"/>
          <w:sz w:val="22"/>
          <w:szCs w:val="22"/>
          <w:lang w:eastAsia="en-CA"/>
        </w:rPr>
        <w:t>At a recent Board of Trade meeting in Bradford a real estate firm stated there is an oversupply of high end housing and not enough affordable housing. He claimed the 2017 market surge was due to a demand issue that lasted about 3 months. Housing issues today he blamed on developers holding onto supply waiting for prices to rise and sellers expecting 2017 prices on resale homes</w:t>
      </w:r>
      <w:r w:rsidRPr="00736D38">
        <w:rPr>
          <w:rFonts w:ascii="Verdana" w:eastAsia="Times New Roman" w:hAnsi="Verdana"/>
          <w:color w:val="000000"/>
          <w:sz w:val="22"/>
          <w:szCs w:val="22"/>
          <w:vertAlign w:val="superscript"/>
          <w:lang w:eastAsia="en-CA"/>
        </w:rPr>
        <w:endnoteRef/>
      </w:r>
      <w:r w:rsidRPr="00736D38">
        <w:rPr>
          <w:rFonts w:ascii="Verdana" w:eastAsia="Times New Roman" w:hAnsi="Verdana"/>
          <w:color w:val="000000"/>
          <w:sz w:val="22"/>
          <w:szCs w:val="22"/>
          <w:lang w:eastAsia="en-CA"/>
        </w:rPr>
        <w:t xml:space="preserve">. His solution, let the market correct itself. </w:t>
      </w:r>
    </w:p>
    <w:p w14:paraId="60D1E79D" w14:textId="77777777" w:rsidR="004F5276" w:rsidRPr="00736D38" w:rsidRDefault="004F5276" w:rsidP="00736D38">
      <w:pPr>
        <w:rPr>
          <w:rFonts w:ascii="Verdana" w:eastAsia="Times New Roman" w:hAnsi="Verdana"/>
          <w:color w:val="000000"/>
          <w:sz w:val="22"/>
          <w:szCs w:val="22"/>
          <w:lang w:eastAsia="en-CA"/>
        </w:rPr>
      </w:pPr>
    </w:p>
    <w:p w14:paraId="6FAF5803" w14:textId="77777777" w:rsidR="004F5276" w:rsidRPr="00736D38" w:rsidRDefault="004F5276" w:rsidP="00736D38">
      <w:pPr>
        <w:rPr>
          <w:rFonts w:ascii="Verdana" w:eastAsia="Times New Roman" w:hAnsi="Verdana"/>
          <w:color w:val="000000"/>
          <w:sz w:val="22"/>
          <w:szCs w:val="22"/>
          <w:lang w:eastAsia="en-CA"/>
        </w:rPr>
      </w:pPr>
      <w:r w:rsidRPr="00736D38">
        <w:rPr>
          <w:rFonts w:ascii="Verdana" w:eastAsia="Times New Roman" w:hAnsi="Verdana"/>
          <w:color w:val="000000"/>
          <w:sz w:val="22"/>
          <w:szCs w:val="22"/>
          <w:lang w:eastAsia="en-CA"/>
        </w:rPr>
        <w:t xml:space="preserve">The median household income in the GGH is about $78,000. Given the household income distribution in the region, based on income alone (i.e. not including other equity), less than 50% of households could afford (or obtain a mortgage for) a house costing $350,000 without spending more than 30% of their gross income (assuming 25% down payment, at 5% interest over a 25 year period).  Clearly, the shift in the type of housing completions in the region from single-detached to multi-residential housing forms and apartments which began in 2001 is a trend directly related to the ability of the population to pay for housing. </w:t>
      </w:r>
    </w:p>
    <w:p w14:paraId="34D04D19" w14:textId="77777777" w:rsidR="004F5276" w:rsidRPr="00736D38" w:rsidRDefault="004F5276" w:rsidP="00736D38">
      <w:pPr>
        <w:rPr>
          <w:rFonts w:ascii="Verdana" w:eastAsia="Times New Roman" w:hAnsi="Verdana"/>
          <w:color w:val="000000"/>
          <w:sz w:val="22"/>
          <w:szCs w:val="22"/>
          <w:lang w:eastAsia="en-CA"/>
        </w:rPr>
      </w:pPr>
    </w:p>
    <w:p w14:paraId="362A820A" w14:textId="77777777" w:rsidR="004F5276" w:rsidRPr="00736D38" w:rsidRDefault="004F5276" w:rsidP="00736D38">
      <w:pPr>
        <w:rPr>
          <w:rFonts w:ascii="Verdana" w:eastAsia="Times New Roman" w:hAnsi="Verdana"/>
          <w:color w:val="000000"/>
          <w:sz w:val="22"/>
          <w:szCs w:val="22"/>
          <w:lang w:eastAsia="en-CA"/>
        </w:rPr>
      </w:pPr>
      <w:r w:rsidRPr="00736D38">
        <w:rPr>
          <w:rFonts w:ascii="Verdana" w:eastAsia="Times New Roman" w:hAnsi="Verdana"/>
          <w:color w:val="000000"/>
          <w:sz w:val="22"/>
          <w:szCs w:val="22"/>
          <w:lang w:eastAsia="en-CA"/>
        </w:rPr>
        <w:t>The type of housing built needs to meet the housing need. In York Region alone there is an inventory of 17,870 singles, 1480 semi’s, 8270 row houses and 15,290 condos and apartments.  Rental housing is in demand and supply has been decreasing. A land needs assessment and subsequent housing strategy can identify what type of housing is needed.</w:t>
      </w:r>
    </w:p>
    <w:p w14:paraId="17CB77D3" w14:textId="77777777" w:rsidR="004F5276" w:rsidRPr="00736D38" w:rsidRDefault="004F5276" w:rsidP="00736D38">
      <w:pPr>
        <w:rPr>
          <w:rFonts w:ascii="Verdana" w:eastAsia="Times New Roman" w:hAnsi="Verdana"/>
          <w:color w:val="000000"/>
          <w:sz w:val="22"/>
          <w:szCs w:val="22"/>
          <w:lang w:eastAsia="en-CA"/>
        </w:rPr>
      </w:pPr>
    </w:p>
    <w:p w14:paraId="73C0AA59" w14:textId="77777777" w:rsidR="004F5276" w:rsidRPr="00736D38" w:rsidRDefault="004F5276" w:rsidP="00736D38">
      <w:pPr>
        <w:rPr>
          <w:rFonts w:eastAsia="Times New Roman"/>
          <w:lang w:eastAsia="en-CA"/>
        </w:rPr>
      </w:pPr>
      <w:r w:rsidRPr="00736D38">
        <w:rPr>
          <w:rFonts w:ascii="Verdana" w:eastAsia="Times New Roman" w:hAnsi="Verdana"/>
          <w:color w:val="000000"/>
          <w:sz w:val="22"/>
          <w:szCs w:val="22"/>
          <w:lang w:eastAsia="en-CA"/>
        </w:rPr>
        <w:t xml:space="preserve">According to CMHC, improving economic conditions in the GTA including employment growth and a low unemployment rate are drawing immigrants and temporary workers to the area and therefore increasing rental demand. Purpose built rental and low income housing needs to be created with functional and affordable access to public transportation options.  </w:t>
      </w:r>
    </w:p>
    <w:p w14:paraId="41540A39" w14:textId="77777777" w:rsidR="004F5276" w:rsidRPr="00736D38" w:rsidRDefault="004F5276" w:rsidP="00736D38">
      <w:pPr>
        <w:rPr>
          <w:rFonts w:eastAsia="Times New Roman"/>
          <w:lang w:eastAsia="en-CA"/>
        </w:rPr>
      </w:pPr>
    </w:p>
    <w:p w14:paraId="50190A24" w14:textId="77777777" w:rsidR="004F5276" w:rsidRPr="00736D38" w:rsidRDefault="004F5276" w:rsidP="00736D38">
      <w:pPr>
        <w:spacing w:after="240"/>
        <w:rPr>
          <w:rFonts w:ascii="Verdana" w:eastAsia="Times New Roman" w:hAnsi="Verdana"/>
          <w:sz w:val="22"/>
          <w:szCs w:val="22"/>
          <w:lang w:eastAsia="en-CA"/>
        </w:rPr>
      </w:pPr>
      <w:r w:rsidRPr="00736D38">
        <w:rPr>
          <w:rFonts w:ascii="Verdana" w:eastAsia="Times New Roman" w:hAnsi="Verdana"/>
          <w:b/>
          <w:sz w:val="22"/>
          <w:szCs w:val="22"/>
          <w:lang w:eastAsia="en-CA"/>
        </w:rPr>
        <w:t>Recommendation:</w:t>
      </w:r>
      <w:r w:rsidRPr="00736D38">
        <w:rPr>
          <w:rFonts w:ascii="Verdana" w:eastAsia="Times New Roman" w:hAnsi="Verdana"/>
          <w:sz w:val="22"/>
          <w:szCs w:val="22"/>
          <w:lang w:eastAsia="en-CA"/>
        </w:rPr>
        <w:t xml:space="preserve"> Find ways to support development of purpose built rental housing near transit stations in urban areas. Encourage a mix of affordable housing types. </w:t>
      </w:r>
    </w:p>
    <w:p w14:paraId="6BA6F452" w14:textId="77777777" w:rsidR="004F5276" w:rsidRPr="00736D38" w:rsidRDefault="004F5276" w:rsidP="00736D38">
      <w:pPr>
        <w:rPr>
          <w:rFonts w:ascii="Verdana" w:eastAsia="Times New Roman" w:hAnsi="Verdana"/>
          <w:color w:val="000000"/>
          <w:sz w:val="22"/>
          <w:szCs w:val="22"/>
          <w:lang w:eastAsia="en-CA"/>
        </w:rPr>
      </w:pPr>
    </w:p>
    <w:p w14:paraId="7EF7E78B" w14:textId="77777777" w:rsidR="004F5276" w:rsidRPr="00736D38" w:rsidRDefault="004F5276" w:rsidP="00736D38">
      <w:pPr>
        <w:rPr>
          <w:rFonts w:eastAsia="Times New Roman"/>
          <w:lang w:eastAsia="en-CA"/>
        </w:rPr>
      </w:pPr>
      <w:r w:rsidRPr="00736D38">
        <w:rPr>
          <w:rFonts w:ascii="Verdana" w:eastAsia="Times New Roman" w:hAnsi="Verdana"/>
          <w:b/>
          <w:bCs/>
          <w:color w:val="000000"/>
          <w:sz w:val="22"/>
          <w:szCs w:val="22"/>
          <w:lang w:eastAsia="en-CA"/>
        </w:rPr>
        <w:t>2.3</w:t>
      </w:r>
      <w:r w:rsidRPr="00736D38">
        <w:rPr>
          <w:rFonts w:ascii="Verdana" w:eastAsia="Times New Roman" w:hAnsi="Verdana"/>
          <w:b/>
          <w:bCs/>
          <w:color w:val="000000"/>
          <w:sz w:val="22"/>
          <w:szCs w:val="22"/>
          <w:lang w:eastAsia="en-CA"/>
        </w:rPr>
        <w:tab/>
        <w:t xml:space="preserve">If we designate more land for housing will it reduce housing prices? </w:t>
      </w:r>
    </w:p>
    <w:p w14:paraId="077AC625" w14:textId="77777777" w:rsidR="004F5276" w:rsidRPr="00736D38" w:rsidRDefault="004F5276" w:rsidP="00736D38">
      <w:pPr>
        <w:rPr>
          <w:rFonts w:eastAsia="Times New Roman"/>
          <w:lang w:eastAsia="en-CA"/>
        </w:rPr>
      </w:pPr>
    </w:p>
    <w:p w14:paraId="0C103CA8" w14:textId="77777777" w:rsidR="004F5276" w:rsidRPr="00736D38" w:rsidRDefault="004F5276" w:rsidP="00736D38">
      <w:pPr>
        <w:rPr>
          <w:rFonts w:eastAsia="Times New Roman"/>
          <w:lang w:eastAsia="en-CA"/>
        </w:rPr>
      </w:pPr>
      <w:r w:rsidRPr="00736D38">
        <w:rPr>
          <w:rFonts w:ascii="Verdana" w:eastAsia="Times New Roman" w:hAnsi="Verdana"/>
          <w:color w:val="000000"/>
          <w:sz w:val="22"/>
          <w:szCs w:val="22"/>
          <w:lang w:eastAsia="en-CA"/>
        </w:rPr>
        <w:t xml:space="preserve">The rules for calculating of land needs within a MCR process that were specified by the 2006 Growth Plan used a methodology that based predictions of future growth on past housing trends rather than requiring an inventory of the land, including vacant land then developing a municipal housing strategy. As a result there was an excess of land designated for housing and employment uses. Despite having over 125,000 hectares of excess land designated for housing, house prices rose significantly over the last 5 years. </w:t>
      </w:r>
    </w:p>
    <w:p w14:paraId="65F3A9E2" w14:textId="77777777" w:rsidR="004F5276" w:rsidRPr="00736D38" w:rsidRDefault="004F5276" w:rsidP="00736D38">
      <w:pPr>
        <w:rPr>
          <w:rFonts w:ascii="Verdana" w:eastAsia="Times New Roman" w:hAnsi="Verdana"/>
          <w:color w:val="000000"/>
          <w:sz w:val="22"/>
          <w:szCs w:val="22"/>
          <w:lang w:eastAsia="en-CA"/>
        </w:rPr>
      </w:pPr>
    </w:p>
    <w:p w14:paraId="4FC92D6D" w14:textId="77777777" w:rsidR="004F5276" w:rsidRPr="00736D38" w:rsidRDefault="004F5276" w:rsidP="00736D38">
      <w:pPr>
        <w:rPr>
          <w:rFonts w:ascii="Verdana" w:eastAsia="Times New Roman" w:hAnsi="Verdana"/>
          <w:color w:val="000000"/>
          <w:sz w:val="22"/>
          <w:szCs w:val="22"/>
          <w:lang w:eastAsia="en-CA"/>
        </w:rPr>
      </w:pPr>
      <w:r w:rsidRPr="00736D38">
        <w:rPr>
          <w:rFonts w:ascii="Verdana" w:eastAsia="Times New Roman" w:hAnsi="Verdana"/>
          <w:color w:val="000000"/>
          <w:sz w:val="22"/>
          <w:szCs w:val="22"/>
          <w:lang w:eastAsia="en-CA"/>
        </w:rPr>
        <w:t>During a 2011 Waterloo OMB hearing planners in municipalities and at the province realized the market based projection methodology for determining land needs was problematic.</w:t>
      </w:r>
      <w:r w:rsidRPr="00736D38">
        <w:rPr>
          <w:rFonts w:ascii="Verdana" w:eastAsia="Times New Roman" w:hAnsi="Verdana"/>
          <w:color w:val="000000"/>
          <w:sz w:val="22"/>
          <w:szCs w:val="22"/>
          <w:vertAlign w:val="superscript"/>
          <w:lang w:eastAsia="en-CA"/>
        </w:rPr>
        <w:endnoteRef/>
      </w:r>
      <w:r w:rsidRPr="00736D38">
        <w:rPr>
          <w:rFonts w:ascii="Verdana" w:eastAsia="Times New Roman" w:hAnsi="Verdana"/>
          <w:color w:val="000000"/>
          <w:sz w:val="22"/>
          <w:szCs w:val="22"/>
          <w:lang w:eastAsia="en-CA"/>
        </w:rPr>
        <w:t xml:space="preserve"> Subsequently, during the 2015 review of the Growth Plan the planners at the province in consultation with stakeholders developed a new Land Needs Assessment methodology. This methodology provides a more reliable and valid method for forecasting housing and land needs. </w:t>
      </w:r>
    </w:p>
    <w:p w14:paraId="73E07EC5" w14:textId="77777777" w:rsidR="004F5276" w:rsidRPr="00736D38" w:rsidRDefault="004F5276" w:rsidP="00736D38">
      <w:pPr>
        <w:rPr>
          <w:rFonts w:ascii="Verdana" w:eastAsia="Times New Roman" w:hAnsi="Verdana"/>
          <w:color w:val="000000"/>
          <w:sz w:val="22"/>
          <w:szCs w:val="22"/>
          <w:lang w:eastAsia="en-CA"/>
        </w:rPr>
      </w:pPr>
      <w:r w:rsidRPr="00736D38">
        <w:rPr>
          <w:rFonts w:ascii="Verdana" w:eastAsia="Times New Roman" w:hAnsi="Verdana"/>
          <w:color w:val="000000"/>
          <w:sz w:val="22"/>
          <w:szCs w:val="22"/>
          <w:lang w:eastAsia="en-CA"/>
        </w:rPr>
        <w:t xml:space="preserve"> </w:t>
      </w:r>
    </w:p>
    <w:p w14:paraId="066C330C" w14:textId="77777777" w:rsidR="004F5276" w:rsidRPr="00736D38" w:rsidRDefault="004F5276" w:rsidP="00736D38">
      <w:pPr>
        <w:rPr>
          <w:rFonts w:eastAsia="Times New Roman"/>
          <w:lang w:eastAsia="en-CA"/>
        </w:rPr>
      </w:pPr>
      <w:r w:rsidRPr="00736D38">
        <w:rPr>
          <w:rFonts w:ascii="Verdana" w:eastAsia="Times New Roman" w:hAnsi="Verdana"/>
          <w:b/>
          <w:color w:val="000000"/>
          <w:sz w:val="22"/>
          <w:szCs w:val="22"/>
          <w:lang w:eastAsia="en-CA"/>
        </w:rPr>
        <w:t>Recommendation</w:t>
      </w:r>
      <w:r w:rsidRPr="00736D38">
        <w:rPr>
          <w:rFonts w:ascii="Verdana" w:eastAsia="Times New Roman" w:hAnsi="Verdana"/>
          <w:color w:val="000000"/>
          <w:sz w:val="22"/>
          <w:szCs w:val="22"/>
          <w:lang w:eastAsia="en-CA"/>
        </w:rPr>
        <w:t xml:space="preserve">: Continue using a land needs assessment rather than a market-based approach methodology. Don’t allocate more land for housing until it is needed and not before an assessment of the success of the recently revised LNA approach at the next 10 year review of the Growth Plan.   </w:t>
      </w:r>
    </w:p>
    <w:p w14:paraId="7FEF00FD" w14:textId="77777777" w:rsidR="004F5276" w:rsidRPr="00736D38" w:rsidRDefault="004F5276" w:rsidP="00736D38">
      <w:pPr>
        <w:rPr>
          <w:rFonts w:eastAsia="Times New Roman"/>
          <w:lang w:eastAsia="en-CA"/>
        </w:rPr>
      </w:pPr>
    </w:p>
    <w:p w14:paraId="0F05DB81" w14:textId="77777777" w:rsidR="004F5276" w:rsidRPr="00736D38" w:rsidRDefault="004F5276" w:rsidP="00736D38">
      <w:pPr>
        <w:rPr>
          <w:rFonts w:eastAsia="Times New Roman"/>
          <w:lang w:eastAsia="en-CA"/>
        </w:rPr>
      </w:pPr>
    </w:p>
    <w:p w14:paraId="6EC2A56C" w14:textId="77777777" w:rsidR="004F5276" w:rsidRPr="00736D38" w:rsidRDefault="004F5276" w:rsidP="00736D38">
      <w:pPr>
        <w:numPr>
          <w:ilvl w:val="0"/>
          <w:numId w:val="12"/>
        </w:numPr>
        <w:spacing w:after="240"/>
        <w:rPr>
          <w:rFonts w:ascii="Verdana" w:eastAsia="Times New Roman" w:hAnsi="Verdana"/>
          <w:b/>
          <w:sz w:val="22"/>
          <w:szCs w:val="22"/>
          <w:lang w:eastAsia="en-CA"/>
        </w:rPr>
      </w:pPr>
      <w:r w:rsidRPr="00736D38">
        <w:rPr>
          <w:rFonts w:ascii="Verdana" w:eastAsia="Times New Roman" w:hAnsi="Verdana"/>
          <w:b/>
          <w:sz w:val="22"/>
          <w:szCs w:val="22"/>
          <w:lang w:eastAsia="en-CA"/>
        </w:rPr>
        <w:tab/>
        <w:t>It takes too long to bring housing to market</w:t>
      </w:r>
    </w:p>
    <w:p w14:paraId="3C511DF7" w14:textId="77777777" w:rsidR="004F5276" w:rsidRPr="00736D38" w:rsidRDefault="004F5276" w:rsidP="00736D38">
      <w:pPr>
        <w:rPr>
          <w:rFonts w:ascii="Verdana" w:eastAsia="Times New Roman" w:hAnsi="Verdana"/>
          <w:sz w:val="22"/>
          <w:szCs w:val="22"/>
          <w:lang w:eastAsia="en-CA"/>
        </w:rPr>
      </w:pPr>
      <w:r w:rsidRPr="00736D38">
        <w:rPr>
          <w:rFonts w:ascii="Verdana" w:eastAsia="Times New Roman" w:hAnsi="Verdana"/>
          <w:sz w:val="22"/>
          <w:szCs w:val="22"/>
          <w:lang w:eastAsia="en-CA"/>
        </w:rPr>
        <w:t xml:space="preserve">As noted in section 2.0 above there is enough land and housing to meet needs until at least 2031 and it could last to 2041. Many changes were made in the last 5 years to streamline the housing process. Perhaps the most effective was changing the OMB. </w:t>
      </w:r>
    </w:p>
    <w:p w14:paraId="0EF75EC8" w14:textId="77777777" w:rsidR="004F5276" w:rsidRPr="00736D38" w:rsidRDefault="004F5276" w:rsidP="00736D38">
      <w:pPr>
        <w:rPr>
          <w:rFonts w:ascii="Verdana" w:eastAsia="Times New Roman" w:hAnsi="Verdana"/>
          <w:sz w:val="22"/>
          <w:szCs w:val="22"/>
          <w:lang w:eastAsia="en-CA"/>
        </w:rPr>
      </w:pPr>
    </w:p>
    <w:p w14:paraId="42FBCE29" w14:textId="77777777" w:rsidR="004F5276" w:rsidRPr="00736D38" w:rsidRDefault="004F5276" w:rsidP="00736D38">
      <w:pPr>
        <w:rPr>
          <w:rFonts w:ascii="Verdana" w:eastAsia="Times New Roman" w:hAnsi="Verdana"/>
          <w:color w:val="000000"/>
          <w:sz w:val="22"/>
          <w:szCs w:val="22"/>
          <w:lang w:eastAsia="en-CA"/>
        </w:rPr>
      </w:pPr>
      <w:r w:rsidRPr="00736D38">
        <w:rPr>
          <w:rFonts w:ascii="Verdana" w:eastAsia="Times New Roman" w:hAnsi="Verdana"/>
          <w:color w:val="000000"/>
          <w:sz w:val="22"/>
          <w:szCs w:val="22"/>
          <w:lang w:eastAsia="en-CA"/>
        </w:rPr>
        <w:t>MMAH data shows that delays in bringing housing to market we caused more by developers than by governments. This occurred because developers challenged Regional Official Plans and approvals at the OMB. The result was an average delay of 3 years/5 Months across the GGH</w:t>
      </w:r>
      <w:r w:rsidRPr="00736D38">
        <w:rPr>
          <w:rFonts w:ascii="Verdana" w:eastAsia="Times New Roman" w:hAnsi="Verdana"/>
          <w:color w:val="000000"/>
          <w:sz w:val="22"/>
          <w:szCs w:val="22"/>
          <w:vertAlign w:val="superscript"/>
          <w:lang w:eastAsia="en-CA"/>
        </w:rPr>
        <w:endnoteRef/>
      </w:r>
      <w:r w:rsidRPr="00736D38">
        <w:rPr>
          <w:rFonts w:ascii="Verdana" w:eastAsia="Times New Roman" w:hAnsi="Verdana"/>
          <w:color w:val="000000"/>
          <w:sz w:val="22"/>
          <w:szCs w:val="22"/>
          <w:lang w:eastAsia="en-CA"/>
        </w:rPr>
        <w:t>. These appeals were all aimed at seeking more land for ground related housing (single family homes) and all were dismissed by the OMB given data that confirmed abundant existing land supply.</w:t>
      </w:r>
    </w:p>
    <w:p w14:paraId="5120DAE0" w14:textId="77777777" w:rsidR="004F5276" w:rsidRPr="00736D38" w:rsidRDefault="004F5276" w:rsidP="00736D38">
      <w:pPr>
        <w:rPr>
          <w:rFonts w:ascii="Verdana" w:eastAsia="Times New Roman" w:hAnsi="Verdana"/>
          <w:color w:val="000000"/>
          <w:sz w:val="22"/>
          <w:szCs w:val="22"/>
          <w:lang w:eastAsia="en-CA"/>
        </w:rPr>
      </w:pPr>
    </w:p>
    <w:p w14:paraId="7479B75C" w14:textId="77777777" w:rsidR="004F5276" w:rsidRPr="00736D38" w:rsidRDefault="004F5276" w:rsidP="00736D38">
      <w:pPr>
        <w:rPr>
          <w:rFonts w:ascii="Verdana" w:eastAsia="Times New Roman" w:hAnsi="Verdana"/>
          <w:color w:val="000000"/>
          <w:sz w:val="22"/>
          <w:szCs w:val="22"/>
          <w:lang w:eastAsia="en-CA"/>
        </w:rPr>
      </w:pPr>
      <w:r w:rsidRPr="00736D38">
        <w:rPr>
          <w:rFonts w:ascii="Verdana" w:eastAsia="Times New Roman" w:hAnsi="Verdana"/>
          <w:color w:val="000000"/>
          <w:sz w:val="22"/>
          <w:szCs w:val="22"/>
          <w:lang w:eastAsia="en-CA"/>
        </w:rPr>
        <w:t xml:space="preserve">The OMB appeals in turn delayed all the lower tier conformity exercises within these upper tiers – which were in turn further delayed by even more industry appeals to the OMB. The overall cost to municipalities was in the tens of millions of dollars in legal and planning costs. (See Appendix I attached) </w:t>
      </w:r>
    </w:p>
    <w:p w14:paraId="7C7C4B84" w14:textId="77777777" w:rsidR="004F5276" w:rsidRPr="00736D38" w:rsidRDefault="004F5276" w:rsidP="00736D38">
      <w:pPr>
        <w:rPr>
          <w:rFonts w:ascii="Verdana" w:eastAsia="Times New Roman" w:hAnsi="Verdana"/>
          <w:color w:val="000000"/>
          <w:sz w:val="22"/>
          <w:szCs w:val="22"/>
          <w:lang w:eastAsia="en-CA"/>
        </w:rPr>
      </w:pPr>
    </w:p>
    <w:p w14:paraId="4769F3F9" w14:textId="77777777" w:rsidR="004F5276" w:rsidRPr="00736D38" w:rsidRDefault="004F5276" w:rsidP="00736D38">
      <w:pPr>
        <w:rPr>
          <w:rFonts w:eastAsia="Times New Roman"/>
          <w:lang w:eastAsia="en-CA"/>
        </w:rPr>
      </w:pPr>
      <w:r w:rsidRPr="00736D38">
        <w:rPr>
          <w:rFonts w:ascii="Verdana" w:eastAsia="Times New Roman" w:hAnsi="Verdana"/>
          <w:color w:val="000000"/>
          <w:sz w:val="22"/>
          <w:szCs w:val="22"/>
          <w:lang w:eastAsia="en-CA"/>
        </w:rPr>
        <w:t>It is these industry driven delays which directly led to the recent OMB/LPAT streamlining reforms prohibiting industry appeals of Growth Plan conformity amendments, provincial plan conformity amendments and new/revised official plans where the Province has issued an approval. These reforms also provide a two year restriction on appeals of new secondary plans (unless supported by a municipal council) and a 5 year restriction on Community Planning Permit System by-laws as it was clear that industry was launching appeals before new municipal policies and by-laws were adopted.</w:t>
      </w:r>
      <w:r w:rsidRPr="00736D38">
        <w:rPr>
          <w:rFonts w:ascii="Verdana" w:eastAsia="Times New Roman" w:hAnsi="Verdana"/>
          <w:color w:val="000000"/>
          <w:sz w:val="22"/>
          <w:szCs w:val="22"/>
          <w:vertAlign w:val="superscript"/>
          <w:lang w:eastAsia="en-CA"/>
        </w:rPr>
        <w:endnoteRef/>
      </w:r>
    </w:p>
    <w:p w14:paraId="46C17C63" w14:textId="77777777" w:rsidR="004F5276" w:rsidRPr="00736D38" w:rsidRDefault="004F5276" w:rsidP="00736D38">
      <w:pPr>
        <w:rPr>
          <w:rFonts w:eastAsia="Times New Roman"/>
          <w:lang w:eastAsia="en-CA"/>
        </w:rPr>
      </w:pPr>
    </w:p>
    <w:p w14:paraId="07CDAF25" w14:textId="77777777" w:rsidR="004F5276" w:rsidRPr="00736D38" w:rsidRDefault="004F5276" w:rsidP="00736D38">
      <w:pPr>
        <w:rPr>
          <w:rFonts w:eastAsia="Times New Roman"/>
          <w:lang w:eastAsia="en-CA"/>
        </w:rPr>
      </w:pPr>
      <w:r w:rsidRPr="00736D38">
        <w:rPr>
          <w:rFonts w:ascii="Verdana" w:eastAsia="Times New Roman" w:hAnsi="Verdana"/>
          <w:color w:val="000000"/>
          <w:sz w:val="22"/>
          <w:szCs w:val="22"/>
          <w:lang w:eastAsia="en-CA"/>
        </w:rPr>
        <w:t>Almost all 110 municipalities in the GGH have amended their official plans to conform with the Growth Plan. As the chart below shows, the six largest upper tiers</w:t>
      </w:r>
    </w:p>
    <w:p w14:paraId="78C4D55C" w14:textId="77777777" w:rsidR="004F5276" w:rsidRPr="00736D38" w:rsidRDefault="004F5276" w:rsidP="00736D38">
      <w:pPr>
        <w:rPr>
          <w:rFonts w:eastAsia="Times New Roman"/>
          <w:lang w:eastAsia="en-CA"/>
        </w:rPr>
      </w:pPr>
      <w:r w:rsidRPr="00736D38">
        <w:rPr>
          <w:rFonts w:ascii="Verdana" w:eastAsia="Times New Roman" w:hAnsi="Verdana"/>
          <w:color w:val="000000"/>
          <w:sz w:val="22"/>
          <w:szCs w:val="22"/>
          <w:lang w:eastAsia="en-CA"/>
        </w:rPr>
        <w:t>in the region and the City of Hamilton approved their conformity exercises within provincial timeframes while the Ministry of Municipal Affairs and Housing issued approvals within an average of 1 year and 5 months.</w:t>
      </w:r>
      <w:r w:rsidRPr="00736D38">
        <w:rPr>
          <w:rFonts w:ascii="Verdana" w:eastAsia="Times New Roman" w:hAnsi="Verdana"/>
          <w:color w:val="000000"/>
          <w:sz w:val="22"/>
          <w:szCs w:val="22"/>
          <w:vertAlign w:val="superscript"/>
          <w:lang w:eastAsia="en-CA"/>
        </w:rPr>
        <w:endnoteRef/>
      </w:r>
    </w:p>
    <w:p w14:paraId="323A3018" w14:textId="77777777" w:rsidR="004F5276" w:rsidRPr="00736D38" w:rsidRDefault="004F5276" w:rsidP="00736D38">
      <w:pPr>
        <w:rPr>
          <w:rFonts w:eastAsia="Times New Roman"/>
          <w:lang w:eastAsia="en-CA"/>
        </w:rPr>
      </w:pPr>
    </w:p>
    <w:p w14:paraId="7D53E45A" w14:textId="77777777" w:rsidR="004F5276" w:rsidRPr="00736D38" w:rsidRDefault="004F5276" w:rsidP="00736D38">
      <w:pPr>
        <w:rPr>
          <w:rFonts w:ascii="Verdana" w:eastAsia="Times New Roman" w:hAnsi="Verdana"/>
          <w:color w:val="000000"/>
          <w:sz w:val="22"/>
          <w:szCs w:val="22"/>
          <w:lang w:eastAsia="en-CA"/>
        </w:rPr>
      </w:pPr>
      <w:r w:rsidRPr="00736D38">
        <w:rPr>
          <w:rFonts w:ascii="Verdana" w:eastAsia="Times New Roman" w:hAnsi="Verdana"/>
          <w:color w:val="000000"/>
          <w:sz w:val="22"/>
          <w:szCs w:val="22"/>
          <w:lang w:eastAsia="en-CA"/>
        </w:rPr>
        <w:t>Reducing “red tape” by seeking efficiencies in land use planning approval and permitting processes is a valid and worthy goal. It is important to continue such efforts while keeping in mind that land use planning should be a transparent and accountable public process and serve the public interest</w:t>
      </w:r>
    </w:p>
    <w:p w14:paraId="166C5685" w14:textId="77777777" w:rsidR="004F5276" w:rsidRPr="00736D38" w:rsidRDefault="004F5276" w:rsidP="00736D38">
      <w:pPr>
        <w:rPr>
          <w:rFonts w:eastAsia="Times New Roman"/>
          <w:lang w:eastAsia="en-CA"/>
        </w:rPr>
      </w:pPr>
    </w:p>
    <w:p w14:paraId="553FEFAD" w14:textId="77777777" w:rsidR="004F5276" w:rsidRPr="00736D38" w:rsidRDefault="004F5276" w:rsidP="00736D38">
      <w:pPr>
        <w:rPr>
          <w:rFonts w:eastAsia="Times New Roman"/>
          <w:lang w:eastAsia="en-CA"/>
        </w:rPr>
      </w:pPr>
      <w:r w:rsidRPr="00736D38">
        <w:rPr>
          <w:rFonts w:ascii="Verdana" w:eastAsia="Times New Roman" w:hAnsi="Verdana"/>
          <w:b/>
          <w:bCs/>
          <w:iCs/>
          <w:color w:val="000000"/>
          <w:sz w:val="22"/>
          <w:szCs w:val="22"/>
          <w:lang w:eastAsia="en-CA"/>
        </w:rPr>
        <w:t>Recommendation:</w:t>
      </w:r>
      <w:r w:rsidRPr="00736D38">
        <w:rPr>
          <w:rFonts w:ascii="Verdana" w:eastAsia="Times New Roman" w:hAnsi="Verdana"/>
          <w:b/>
          <w:bCs/>
          <w:color w:val="000000"/>
          <w:sz w:val="22"/>
          <w:szCs w:val="22"/>
          <w:lang w:eastAsia="en-CA"/>
        </w:rPr>
        <w:t xml:space="preserve"> </w:t>
      </w:r>
      <w:r w:rsidRPr="00736D38">
        <w:rPr>
          <w:rFonts w:ascii="Verdana" w:eastAsia="Times New Roman" w:hAnsi="Verdana"/>
          <w:color w:val="000000"/>
          <w:sz w:val="22"/>
          <w:szCs w:val="22"/>
          <w:lang w:eastAsia="en-CA"/>
        </w:rPr>
        <w:t>Keep policies that prohibit industry appeals of Growth Plan conformity amendments, provincial plan conformity amendments and new/revised official plans where the Province has issued an approval, secondary plans and a five year restriction on Community Planning Permit System by-laws. Keep the Local Planning Appeals Tribunal (LPAT) as it is a quicker, less expensive dispute resolution process compared to the Ontario Municipal Board (OMB).</w:t>
      </w:r>
    </w:p>
    <w:p w14:paraId="10DAA501" w14:textId="77777777" w:rsidR="004F5276" w:rsidRPr="00736D38" w:rsidRDefault="004F5276" w:rsidP="00736D38">
      <w:pPr>
        <w:rPr>
          <w:rFonts w:ascii="Verdana" w:eastAsia="Times New Roman" w:hAnsi="Verdana"/>
          <w:sz w:val="22"/>
          <w:szCs w:val="22"/>
          <w:lang w:eastAsia="en-CA"/>
        </w:rPr>
      </w:pPr>
    </w:p>
    <w:p w14:paraId="2EF8D315" w14:textId="77777777" w:rsidR="004F5276" w:rsidRPr="00736D38" w:rsidRDefault="004F5276" w:rsidP="00736D38">
      <w:pPr>
        <w:numPr>
          <w:ilvl w:val="0"/>
          <w:numId w:val="14"/>
        </w:numPr>
        <w:contextualSpacing/>
        <w:rPr>
          <w:rFonts w:ascii="Verdana" w:eastAsia="Calibri" w:hAnsi="Verdana"/>
          <w:b/>
          <w:sz w:val="22"/>
          <w:szCs w:val="22"/>
          <w:lang w:eastAsia="en-US"/>
        </w:rPr>
      </w:pPr>
      <w:r w:rsidRPr="00736D38">
        <w:rPr>
          <w:rFonts w:ascii="Verdana" w:eastAsia="Calibri" w:hAnsi="Verdana"/>
          <w:b/>
          <w:sz w:val="22"/>
          <w:szCs w:val="22"/>
          <w:lang w:eastAsia="en-US"/>
        </w:rPr>
        <w:t>Employment area conversions</w:t>
      </w:r>
    </w:p>
    <w:p w14:paraId="1AC69D8E" w14:textId="77777777" w:rsidR="004F5276" w:rsidRPr="00736D38" w:rsidRDefault="004F5276" w:rsidP="00736D38">
      <w:pPr>
        <w:ind w:left="720"/>
        <w:contextualSpacing/>
        <w:rPr>
          <w:rFonts w:ascii="Verdana" w:eastAsia="Calibri" w:hAnsi="Verdana"/>
          <w:b/>
          <w:sz w:val="22"/>
          <w:szCs w:val="22"/>
          <w:lang w:eastAsia="en-US"/>
        </w:rPr>
      </w:pPr>
    </w:p>
    <w:p w14:paraId="50970AA8" w14:textId="77777777" w:rsidR="004F5276" w:rsidRPr="00736D38" w:rsidRDefault="004F5276" w:rsidP="00736D38">
      <w:pPr>
        <w:rPr>
          <w:rFonts w:ascii="Verdana" w:hAnsi="Verdana"/>
          <w:sz w:val="22"/>
          <w:szCs w:val="22"/>
        </w:rPr>
      </w:pPr>
      <w:r w:rsidRPr="00736D38">
        <w:rPr>
          <w:rFonts w:ascii="Verdana" w:hAnsi="Verdana"/>
          <w:sz w:val="22"/>
          <w:szCs w:val="22"/>
        </w:rPr>
        <w:t>We agree the existing process may in some cases be too onerous and hinder good projects (e.g.  the redevelopment of mixed uses near the Kitchener ION). To move forward, employment area strategies to calculate employment land needs should be completed and made publicly available before any conversion process commences.</w:t>
      </w:r>
    </w:p>
    <w:p w14:paraId="4D80A01A" w14:textId="77777777" w:rsidR="004F5276" w:rsidRPr="00736D38" w:rsidRDefault="004F5276" w:rsidP="00736D38">
      <w:pPr>
        <w:rPr>
          <w:rFonts w:ascii="Verdana" w:hAnsi="Verdana"/>
          <w:sz w:val="22"/>
          <w:szCs w:val="22"/>
        </w:rPr>
      </w:pPr>
    </w:p>
    <w:p w14:paraId="5A8AF3D0" w14:textId="77777777" w:rsidR="004F5276" w:rsidRPr="00736D38" w:rsidRDefault="004F5276" w:rsidP="00736D38">
      <w:pPr>
        <w:rPr>
          <w:rFonts w:ascii="Verdana" w:eastAsia="Verdana" w:hAnsi="Verdana" w:cs="Verdana"/>
          <w:sz w:val="22"/>
          <w:szCs w:val="22"/>
        </w:rPr>
      </w:pPr>
      <w:r w:rsidRPr="00736D38">
        <w:rPr>
          <w:rFonts w:ascii="Verdana" w:hAnsi="Verdana"/>
          <w:sz w:val="22"/>
          <w:szCs w:val="22"/>
        </w:rPr>
        <w:t xml:space="preserve">It is also clear there is an excess of employment land. </w:t>
      </w:r>
      <w:r w:rsidRPr="00736D38">
        <w:rPr>
          <w:rFonts w:ascii="Verdana" w:eastAsia="Verdana" w:hAnsi="Verdana" w:cs="Verdana"/>
          <w:sz w:val="22"/>
          <w:szCs w:val="22"/>
        </w:rPr>
        <w:t>Ontario is enjoying a period of stable employment. The unemployment rate has remained below 6% since 2017</w:t>
      </w:r>
      <w:r w:rsidRPr="00736D38">
        <w:rPr>
          <w:rFonts w:ascii="Verdana" w:eastAsia="Verdana" w:hAnsi="Verdana" w:cs="Verdana"/>
          <w:sz w:val="22"/>
          <w:szCs w:val="22"/>
          <w:vertAlign w:val="superscript"/>
        </w:rPr>
        <w:endnoteRef/>
      </w:r>
      <w:r w:rsidRPr="00736D38">
        <w:rPr>
          <w:rFonts w:ascii="Verdana" w:eastAsia="Verdana" w:hAnsi="Verdana" w:cs="Verdana"/>
          <w:sz w:val="22"/>
          <w:szCs w:val="22"/>
        </w:rPr>
        <w:t>. In the recent Neptis Foundation report, Planning the next GGH, a slowing trend in employment growth in the 905 is revealed</w:t>
      </w:r>
      <w:r w:rsidRPr="00736D38">
        <w:rPr>
          <w:rFonts w:ascii="Verdana" w:eastAsia="Verdana" w:hAnsi="Verdana" w:cs="Verdana"/>
          <w:sz w:val="22"/>
          <w:szCs w:val="22"/>
          <w:vertAlign w:val="superscript"/>
        </w:rPr>
        <w:endnoteRef/>
      </w:r>
      <w:r w:rsidRPr="00736D38">
        <w:rPr>
          <w:rFonts w:ascii="Verdana" w:eastAsia="Verdana" w:hAnsi="Verdana" w:cs="Verdana"/>
          <w:sz w:val="22"/>
          <w:szCs w:val="22"/>
        </w:rPr>
        <w:t xml:space="preserve">.  With stable employment, a slowdown in employment growth and an aging population employment land needs are decreasing. It is unclear what projections the province is using to propose allowing employment land growth anywhere in Ontario. At the same time as the province is consulting on Bill 66, the </w:t>
      </w:r>
      <w:hyperlink r:id="rId1">
        <w:r w:rsidRPr="00736D38">
          <w:rPr>
            <w:rFonts w:ascii="Verdana" w:eastAsia="Verdana" w:hAnsi="Verdana" w:cs="Verdana"/>
            <w:color w:val="1155CC"/>
            <w:sz w:val="22"/>
            <w:szCs w:val="22"/>
            <w:u w:val="single"/>
          </w:rPr>
          <w:t>Growth Plan Consultation</w:t>
        </w:r>
      </w:hyperlink>
      <w:r w:rsidRPr="00736D38">
        <w:rPr>
          <w:rFonts w:ascii="Verdana" w:eastAsia="Verdana" w:hAnsi="Verdana" w:cs="Verdana"/>
          <w:sz w:val="22"/>
          <w:szCs w:val="22"/>
        </w:rPr>
        <w:t xml:space="preserve"> was released which identifies provincially significant employment areas. </w:t>
      </w:r>
    </w:p>
    <w:p w14:paraId="1FB861C2" w14:textId="77777777" w:rsidR="004F5276" w:rsidRPr="00736D38" w:rsidRDefault="004F5276" w:rsidP="00736D38">
      <w:pPr>
        <w:rPr>
          <w:rFonts w:ascii="Verdana" w:eastAsia="Verdana" w:hAnsi="Verdana" w:cs="Verdana"/>
          <w:sz w:val="22"/>
          <w:szCs w:val="22"/>
        </w:rPr>
      </w:pPr>
    </w:p>
    <w:p w14:paraId="7F8B183A" w14:textId="77777777" w:rsidR="004F5276" w:rsidRPr="00736D38" w:rsidRDefault="004F5276" w:rsidP="00736D38">
      <w:pPr>
        <w:rPr>
          <w:rFonts w:ascii="Verdana" w:eastAsia="Verdana" w:hAnsi="Verdana" w:cs="Verdana"/>
          <w:sz w:val="22"/>
          <w:szCs w:val="22"/>
        </w:rPr>
      </w:pPr>
      <w:r w:rsidRPr="00736D38">
        <w:rPr>
          <w:rFonts w:ascii="Verdana" w:eastAsia="Verdana" w:hAnsi="Verdana" w:cs="Verdana"/>
          <w:sz w:val="22"/>
          <w:szCs w:val="22"/>
        </w:rPr>
        <w:t>The Municipalities are currently undertaking studies as part of the Growth Plan requirements to determine land needs for employment uses. This data is essential for responsible planning. Many areas in the Greater Golden Horseshoe such as Simcoe County have completed the calculations to determine they have an excess of employment land.</w:t>
      </w:r>
      <w:r w:rsidRPr="00736D38">
        <w:rPr>
          <w:rFonts w:ascii="Verdana" w:eastAsia="Verdana" w:hAnsi="Verdana" w:cs="Verdana"/>
          <w:sz w:val="22"/>
          <w:szCs w:val="22"/>
          <w:vertAlign w:val="superscript"/>
        </w:rPr>
        <w:endnoteRef/>
      </w:r>
      <w:r w:rsidRPr="00736D38">
        <w:rPr>
          <w:rFonts w:ascii="Verdana" w:eastAsia="Verdana" w:hAnsi="Verdana" w:cs="Verdana"/>
          <w:sz w:val="22"/>
          <w:szCs w:val="22"/>
        </w:rPr>
        <w:t xml:space="preserve"> </w:t>
      </w:r>
    </w:p>
    <w:p w14:paraId="162D7796" w14:textId="77777777" w:rsidR="004F5276" w:rsidRPr="00736D38" w:rsidRDefault="004F5276" w:rsidP="00736D38">
      <w:pPr>
        <w:ind w:left="-360"/>
        <w:rPr>
          <w:rFonts w:ascii="Verdana" w:eastAsia="Verdana" w:hAnsi="Verdana" w:cs="Verdana"/>
          <w:sz w:val="22"/>
          <w:szCs w:val="22"/>
        </w:rPr>
      </w:pPr>
    </w:p>
    <w:p w14:paraId="69517B8C" w14:textId="674F3550" w:rsidR="004F5276" w:rsidRDefault="004F5276" w:rsidP="00736D38">
      <w:pPr>
        <w:ind w:left="-284"/>
        <w:rPr>
          <w:rFonts w:ascii="Verdana" w:eastAsia="Verdana" w:hAnsi="Verdana" w:cs="Verdana"/>
          <w:sz w:val="22"/>
          <w:szCs w:val="22"/>
        </w:rPr>
      </w:pPr>
    </w:p>
    <w:p w14:paraId="64BD1FFE" w14:textId="46813C9F" w:rsidR="00410D65" w:rsidRDefault="00410D65" w:rsidP="00736D38">
      <w:pPr>
        <w:ind w:left="-284"/>
        <w:rPr>
          <w:rFonts w:ascii="Verdana" w:eastAsia="Verdana" w:hAnsi="Verdana" w:cs="Verdana"/>
          <w:sz w:val="22"/>
          <w:szCs w:val="22"/>
        </w:rPr>
      </w:pPr>
    </w:p>
    <w:p w14:paraId="66FF886F" w14:textId="74220102" w:rsidR="00410D65" w:rsidRDefault="00410D65" w:rsidP="00736D38">
      <w:pPr>
        <w:ind w:left="-284"/>
        <w:rPr>
          <w:rFonts w:ascii="Verdana" w:eastAsia="Verdana" w:hAnsi="Verdana" w:cs="Verdana"/>
          <w:sz w:val="22"/>
          <w:szCs w:val="22"/>
        </w:rPr>
      </w:pPr>
    </w:p>
    <w:p w14:paraId="578D9F23" w14:textId="6F1EF3D4" w:rsidR="00410D65" w:rsidRDefault="00410D65" w:rsidP="00736D38">
      <w:pPr>
        <w:ind w:left="-284"/>
        <w:rPr>
          <w:rFonts w:ascii="Verdana" w:eastAsia="Verdana" w:hAnsi="Verdana" w:cs="Verdana"/>
          <w:sz w:val="22"/>
          <w:szCs w:val="22"/>
        </w:rPr>
      </w:pPr>
    </w:p>
    <w:p w14:paraId="117CFE5C" w14:textId="77777777" w:rsidR="00410D65" w:rsidRPr="00736D38" w:rsidRDefault="00410D65" w:rsidP="00736D38">
      <w:pPr>
        <w:ind w:left="-284"/>
        <w:rPr>
          <w:rFonts w:ascii="Verdana" w:eastAsia="Verdana" w:hAnsi="Verdana" w:cs="Verdana"/>
          <w:sz w:val="22"/>
          <w:szCs w:val="22"/>
        </w:rPr>
      </w:pPr>
    </w:p>
    <w:tbl>
      <w:tblPr>
        <w:tblW w:w="8400" w:type="dxa"/>
        <w:tblInd w:w="25" w:type="dxa"/>
        <w:tblBorders>
          <w:top w:val="nil"/>
          <w:left w:val="nil"/>
          <w:bottom w:val="nil"/>
          <w:right w:val="nil"/>
          <w:insideH w:val="nil"/>
          <w:insideV w:val="nil"/>
        </w:tblBorders>
        <w:tblLayout w:type="fixed"/>
        <w:tblLook w:val="0600" w:firstRow="0" w:lastRow="0" w:firstColumn="0" w:lastColumn="0" w:noHBand="1" w:noVBand="1"/>
      </w:tblPr>
      <w:tblGrid>
        <w:gridCol w:w="1755"/>
        <w:gridCol w:w="2430"/>
        <w:gridCol w:w="2040"/>
        <w:gridCol w:w="2175"/>
      </w:tblGrid>
      <w:tr w:rsidR="004F5276" w:rsidRPr="00736D38" w14:paraId="1E7DA47B" w14:textId="77777777" w:rsidTr="004F5276">
        <w:trPr>
          <w:trHeight w:val="480"/>
        </w:trPr>
        <w:tc>
          <w:tcPr>
            <w:tcW w:w="8400" w:type="dxa"/>
            <w:gridSpan w:val="4"/>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5FDA3B1" w14:textId="77777777" w:rsidR="004F5276" w:rsidRPr="00736D38" w:rsidRDefault="004F5276" w:rsidP="00736D38">
            <w:pPr>
              <w:widowControl w:val="0"/>
              <w:jc w:val="center"/>
              <w:rPr>
                <w:rFonts w:ascii="Calibri" w:eastAsia="Calibri" w:hAnsi="Calibri" w:cs="Calibri"/>
                <w:sz w:val="22"/>
                <w:szCs w:val="22"/>
              </w:rPr>
            </w:pPr>
            <w:r w:rsidRPr="00736D38">
              <w:rPr>
                <w:rFonts w:ascii="Calibri" w:eastAsia="Calibri" w:hAnsi="Calibri" w:cs="Calibri"/>
                <w:b/>
                <w:sz w:val="22"/>
                <w:szCs w:val="22"/>
              </w:rPr>
              <w:t>Employment Land by Regional Municipalities in the GGH  (2015-2017)</w:t>
            </w:r>
          </w:p>
        </w:tc>
      </w:tr>
      <w:tr w:rsidR="004F5276" w:rsidRPr="00736D38" w14:paraId="0ED2AE0D" w14:textId="77777777" w:rsidTr="004F5276">
        <w:trPr>
          <w:trHeight w:val="300"/>
        </w:trPr>
        <w:tc>
          <w:tcPr>
            <w:tcW w:w="1755" w:type="dxa"/>
            <w:tcBorders>
              <w:top w:val="single" w:sz="6" w:space="0" w:color="CCCCCC"/>
              <w:left w:val="single" w:sz="6" w:space="0" w:color="000000"/>
              <w:bottom w:val="single" w:sz="6" w:space="0" w:color="000000"/>
              <w:right w:val="single" w:sz="6" w:space="0" w:color="000000"/>
            </w:tcBorders>
            <w:shd w:val="clear" w:color="auto" w:fill="E2EFD9"/>
            <w:tcMar>
              <w:top w:w="0" w:type="dxa"/>
              <w:left w:w="40" w:type="dxa"/>
              <w:bottom w:w="0" w:type="dxa"/>
              <w:right w:w="40" w:type="dxa"/>
            </w:tcMar>
            <w:vAlign w:val="bottom"/>
          </w:tcPr>
          <w:p w14:paraId="551BBACE" w14:textId="77777777" w:rsidR="004F5276" w:rsidRPr="00736D38" w:rsidRDefault="004F5276" w:rsidP="00736D38">
            <w:pPr>
              <w:widowControl w:val="0"/>
              <w:rPr>
                <w:rFonts w:ascii="Calibri" w:eastAsia="Calibri" w:hAnsi="Calibri" w:cs="Calibri"/>
                <w:sz w:val="22"/>
                <w:szCs w:val="22"/>
              </w:rPr>
            </w:pPr>
            <w:r w:rsidRPr="00736D38">
              <w:rPr>
                <w:rFonts w:ascii="Calibri" w:eastAsia="Calibri" w:hAnsi="Calibri" w:cs="Calibri"/>
                <w:b/>
                <w:sz w:val="22"/>
                <w:szCs w:val="22"/>
              </w:rPr>
              <w:t>Region (hectares)</w:t>
            </w:r>
          </w:p>
        </w:tc>
        <w:tc>
          <w:tcPr>
            <w:tcW w:w="2430" w:type="dxa"/>
            <w:tcBorders>
              <w:top w:val="single" w:sz="6" w:space="0" w:color="CCCCCC"/>
              <w:left w:val="single" w:sz="6" w:space="0" w:color="CCCCCC"/>
              <w:bottom w:val="single" w:sz="6" w:space="0" w:color="000000"/>
              <w:right w:val="single" w:sz="6" w:space="0" w:color="000000"/>
            </w:tcBorders>
            <w:shd w:val="clear" w:color="auto" w:fill="E2EFD9"/>
            <w:tcMar>
              <w:top w:w="0" w:type="dxa"/>
              <w:left w:w="40" w:type="dxa"/>
              <w:bottom w:w="0" w:type="dxa"/>
              <w:right w:w="40" w:type="dxa"/>
            </w:tcMar>
            <w:vAlign w:val="bottom"/>
          </w:tcPr>
          <w:p w14:paraId="23DA4C8D" w14:textId="77777777" w:rsidR="004F5276" w:rsidRPr="00736D38" w:rsidRDefault="004F5276" w:rsidP="00736D38">
            <w:pPr>
              <w:widowControl w:val="0"/>
              <w:rPr>
                <w:rFonts w:ascii="Calibri" w:eastAsia="Calibri" w:hAnsi="Calibri" w:cs="Calibri"/>
                <w:sz w:val="22"/>
                <w:szCs w:val="22"/>
              </w:rPr>
            </w:pPr>
            <w:r w:rsidRPr="00736D38">
              <w:rPr>
                <w:rFonts w:ascii="Calibri" w:eastAsia="Calibri" w:hAnsi="Calibri" w:cs="Calibri"/>
                <w:b/>
                <w:sz w:val="22"/>
                <w:szCs w:val="22"/>
              </w:rPr>
              <w:t xml:space="preserve">Total Vacant Emp. Lands </w:t>
            </w:r>
          </w:p>
        </w:tc>
        <w:tc>
          <w:tcPr>
            <w:tcW w:w="2040" w:type="dxa"/>
            <w:tcBorders>
              <w:top w:val="single" w:sz="6" w:space="0" w:color="CCCCCC"/>
              <w:left w:val="single" w:sz="6" w:space="0" w:color="CCCCCC"/>
              <w:bottom w:val="single" w:sz="6" w:space="0" w:color="000000"/>
              <w:right w:val="single" w:sz="6" w:space="0" w:color="000000"/>
            </w:tcBorders>
            <w:shd w:val="clear" w:color="auto" w:fill="E2EFD9"/>
            <w:tcMar>
              <w:top w:w="0" w:type="dxa"/>
              <w:left w:w="40" w:type="dxa"/>
              <w:bottom w:w="0" w:type="dxa"/>
              <w:right w:w="40" w:type="dxa"/>
            </w:tcMar>
            <w:vAlign w:val="bottom"/>
          </w:tcPr>
          <w:p w14:paraId="08B77D4A" w14:textId="77777777" w:rsidR="004F5276" w:rsidRPr="00736D38" w:rsidRDefault="004F5276" w:rsidP="00736D38">
            <w:pPr>
              <w:widowControl w:val="0"/>
              <w:rPr>
                <w:rFonts w:ascii="Calibri" w:eastAsia="Calibri" w:hAnsi="Calibri" w:cs="Calibri"/>
                <w:sz w:val="22"/>
                <w:szCs w:val="22"/>
              </w:rPr>
            </w:pPr>
            <w:r w:rsidRPr="00736D38">
              <w:rPr>
                <w:rFonts w:ascii="Calibri" w:eastAsia="Calibri" w:hAnsi="Calibri" w:cs="Calibri"/>
                <w:b/>
                <w:sz w:val="22"/>
                <w:szCs w:val="22"/>
              </w:rPr>
              <w:t>Total # Emp. Lands</w:t>
            </w:r>
          </w:p>
        </w:tc>
        <w:tc>
          <w:tcPr>
            <w:tcW w:w="2175" w:type="dxa"/>
            <w:tcBorders>
              <w:top w:val="single" w:sz="6" w:space="0" w:color="CCCCCC"/>
              <w:left w:val="single" w:sz="6" w:space="0" w:color="CCCCCC"/>
              <w:bottom w:val="single" w:sz="6" w:space="0" w:color="000000"/>
              <w:right w:val="single" w:sz="6" w:space="0" w:color="000000"/>
            </w:tcBorders>
            <w:shd w:val="clear" w:color="auto" w:fill="E2EFD9"/>
            <w:tcMar>
              <w:top w:w="0" w:type="dxa"/>
              <w:left w:w="40" w:type="dxa"/>
              <w:bottom w:w="0" w:type="dxa"/>
              <w:right w:w="40" w:type="dxa"/>
            </w:tcMar>
            <w:vAlign w:val="bottom"/>
          </w:tcPr>
          <w:p w14:paraId="024E3EFA" w14:textId="77777777" w:rsidR="004F5276" w:rsidRPr="00736D38" w:rsidRDefault="004F5276" w:rsidP="00736D38">
            <w:pPr>
              <w:widowControl w:val="0"/>
              <w:ind w:right="105"/>
              <w:rPr>
                <w:rFonts w:ascii="Calibri" w:eastAsia="Calibri" w:hAnsi="Calibri" w:cs="Calibri"/>
                <w:sz w:val="22"/>
                <w:szCs w:val="22"/>
              </w:rPr>
            </w:pPr>
            <w:r w:rsidRPr="00736D38">
              <w:rPr>
                <w:rFonts w:ascii="Calibri" w:eastAsia="Calibri" w:hAnsi="Calibri" w:cs="Calibri"/>
                <w:b/>
                <w:sz w:val="22"/>
                <w:szCs w:val="22"/>
              </w:rPr>
              <w:t xml:space="preserve">%  Total Emp. Lands </w:t>
            </w:r>
          </w:p>
        </w:tc>
      </w:tr>
      <w:tr w:rsidR="004F5276" w:rsidRPr="00736D38" w14:paraId="6811526B" w14:textId="77777777" w:rsidTr="004F5276">
        <w:trPr>
          <w:trHeight w:val="300"/>
        </w:trPr>
        <w:tc>
          <w:tcPr>
            <w:tcW w:w="1755" w:type="dxa"/>
            <w:tcBorders>
              <w:top w:val="single" w:sz="6" w:space="0" w:color="CCCCCC"/>
              <w:left w:val="single" w:sz="6" w:space="0" w:color="000000"/>
              <w:bottom w:val="single" w:sz="6" w:space="0" w:color="CCCCCC"/>
              <w:right w:val="single" w:sz="6" w:space="0" w:color="CCCCCC"/>
            </w:tcBorders>
            <w:tcMar>
              <w:top w:w="0" w:type="dxa"/>
              <w:left w:w="40" w:type="dxa"/>
              <w:bottom w:w="0" w:type="dxa"/>
              <w:right w:w="40" w:type="dxa"/>
            </w:tcMar>
            <w:vAlign w:val="bottom"/>
          </w:tcPr>
          <w:p w14:paraId="436BE92A" w14:textId="77777777" w:rsidR="004F5276" w:rsidRPr="00736D38" w:rsidRDefault="004F5276" w:rsidP="00736D38">
            <w:pPr>
              <w:widowControl w:val="0"/>
              <w:rPr>
                <w:rFonts w:ascii="Calibri" w:eastAsia="Calibri" w:hAnsi="Calibri" w:cs="Calibri"/>
                <w:sz w:val="22"/>
                <w:szCs w:val="22"/>
              </w:rPr>
            </w:pPr>
            <w:r w:rsidRPr="00736D38">
              <w:rPr>
                <w:rFonts w:ascii="Calibri" w:eastAsia="Calibri" w:hAnsi="Calibri" w:cs="Calibri"/>
                <w:sz w:val="22"/>
                <w:szCs w:val="22"/>
              </w:rPr>
              <w:t>York</w:t>
            </w:r>
          </w:p>
        </w:tc>
        <w:tc>
          <w:tcPr>
            <w:tcW w:w="243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1DDCC2D5" w14:textId="77777777" w:rsidR="004F5276" w:rsidRPr="00736D38" w:rsidRDefault="004F5276" w:rsidP="00736D38">
            <w:pPr>
              <w:widowControl w:val="0"/>
              <w:jc w:val="right"/>
              <w:rPr>
                <w:rFonts w:ascii="Calibri" w:eastAsia="Calibri" w:hAnsi="Calibri" w:cs="Calibri"/>
                <w:sz w:val="22"/>
                <w:szCs w:val="22"/>
              </w:rPr>
            </w:pPr>
            <w:r w:rsidRPr="00736D38">
              <w:rPr>
                <w:rFonts w:ascii="Calibri" w:eastAsia="Calibri" w:hAnsi="Calibri" w:cs="Calibri"/>
                <w:sz w:val="22"/>
                <w:szCs w:val="22"/>
              </w:rPr>
              <w:t>2588</w:t>
            </w:r>
          </w:p>
        </w:tc>
        <w:tc>
          <w:tcPr>
            <w:tcW w:w="204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392B1F4D" w14:textId="77777777" w:rsidR="004F5276" w:rsidRPr="00736D38" w:rsidRDefault="004F5276" w:rsidP="00736D38">
            <w:pPr>
              <w:widowControl w:val="0"/>
              <w:jc w:val="right"/>
              <w:rPr>
                <w:rFonts w:ascii="Calibri" w:eastAsia="Calibri" w:hAnsi="Calibri" w:cs="Calibri"/>
                <w:sz w:val="22"/>
                <w:szCs w:val="22"/>
              </w:rPr>
            </w:pPr>
            <w:r w:rsidRPr="00736D38">
              <w:rPr>
                <w:rFonts w:ascii="Calibri" w:eastAsia="Calibri" w:hAnsi="Calibri" w:cs="Calibri"/>
                <w:sz w:val="22"/>
                <w:szCs w:val="22"/>
              </w:rPr>
              <w:t>7759</w:t>
            </w:r>
          </w:p>
        </w:tc>
        <w:tc>
          <w:tcPr>
            <w:tcW w:w="2175"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14:paraId="465C901C" w14:textId="77777777" w:rsidR="004F5276" w:rsidRPr="00736D38" w:rsidRDefault="004F5276" w:rsidP="00736D38">
            <w:pPr>
              <w:widowControl w:val="0"/>
              <w:jc w:val="right"/>
              <w:rPr>
                <w:rFonts w:ascii="Calibri" w:eastAsia="Calibri" w:hAnsi="Calibri" w:cs="Calibri"/>
                <w:sz w:val="22"/>
                <w:szCs w:val="22"/>
              </w:rPr>
            </w:pPr>
            <w:r w:rsidRPr="00736D38">
              <w:rPr>
                <w:rFonts w:ascii="Calibri" w:eastAsia="Calibri" w:hAnsi="Calibri" w:cs="Calibri"/>
                <w:sz w:val="22"/>
                <w:szCs w:val="22"/>
              </w:rPr>
              <w:t>33%</w:t>
            </w:r>
          </w:p>
        </w:tc>
      </w:tr>
      <w:tr w:rsidR="004F5276" w:rsidRPr="00736D38" w14:paraId="7D322D84" w14:textId="77777777" w:rsidTr="004F5276">
        <w:trPr>
          <w:trHeight w:val="300"/>
        </w:trPr>
        <w:tc>
          <w:tcPr>
            <w:tcW w:w="1755" w:type="dxa"/>
            <w:tcBorders>
              <w:top w:val="single" w:sz="6" w:space="0" w:color="CCCCCC"/>
              <w:left w:val="single" w:sz="6" w:space="0" w:color="000000"/>
              <w:bottom w:val="single" w:sz="6" w:space="0" w:color="CCCCCC"/>
              <w:right w:val="single" w:sz="6" w:space="0" w:color="CCCCCC"/>
            </w:tcBorders>
            <w:tcMar>
              <w:top w:w="0" w:type="dxa"/>
              <w:left w:w="40" w:type="dxa"/>
              <w:bottom w:w="0" w:type="dxa"/>
              <w:right w:w="40" w:type="dxa"/>
            </w:tcMar>
            <w:vAlign w:val="bottom"/>
          </w:tcPr>
          <w:p w14:paraId="7B93C150" w14:textId="77777777" w:rsidR="004F5276" w:rsidRPr="00736D38" w:rsidRDefault="004F5276" w:rsidP="00736D38">
            <w:pPr>
              <w:widowControl w:val="0"/>
              <w:rPr>
                <w:rFonts w:ascii="Calibri" w:eastAsia="Calibri" w:hAnsi="Calibri" w:cs="Calibri"/>
                <w:sz w:val="22"/>
                <w:szCs w:val="22"/>
              </w:rPr>
            </w:pPr>
            <w:r w:rsidRPr="00736D38">
              <w:rPr>
                <w:rFonts w:ascii="Calibri" w:eastAsia="Calibri" w:hAnsi="Calibri" w:cs="Calibri"/>
                <w:sz w:val="22"/>
                <w:szCs w:val="22"/>
              </w:rPr>
              <w:t>Halton</w:t>
            </w:r>
          </w:p>
        </w:tc>
        <w:tc>
          <w:tcPr>
            <w:tcW w:w="243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6E6C1039" w14:textId="77777777" w:rsidR="004F5276" w:rsidRPr="00736D38" w:rsidRDefault="004F5276" w:rsidP="00736D38">
            <w:pPr>
              <w:widowControl w:val="0"/>
              <w:jc w:val="right"/>
              <w:rPr>
                <w:rFonts w:ascii="Calibri" w:eastAsia="Calibri" w:hAnsi="Calibri" w:cs="Calibri"/>
                <w:sz w:val="22"/>
                <w:szCs w:val="22"/>
              </w:rPr>
            </w:pPr>
            <w:r w:rsidRPr="00736D38">
              <w:rPr>
                <w:rFonts w:ascii="Calibri" w:eastAsia="Calibri" w:hAnsi="Calibri" w:cs="Calibri"/>
                <w:sz w:val="22"/>
                <w:szCs w:val="22"/>
              </w:rPr>
              <w:t>2800</w:t>
            </w:r>
          </w:p>
        </w:tc>
        <w:tc>
          <w:tcPr>
            <w:tcW w:w="204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42B745C8" w14:textId="77777777" w:rsidR="004F5276" w:rsidRPr="00736D38" w:rsidRDefault="004F5276" w:rsidP="00736D38">
            <w:pPr>
              <w:widowControl w:val="0"/>
              <w:jc w:val="right"/>
              <w:rPr>
                <w:rFonts w:ascii="Calibri" w:eastAsia="Calibri" w:hAnsi="Calibri" w:cs="Calibri"/>
                <w:sz w:val="22"/>
                <w:szCs w:val="22"/>
              </w:rPr>
            </w:pPr>
            <w:r w:rsidRPr="00736D38">
              <w:rPr>
                <w:rFonts w:ascii="Calibri" w:eastAsia="Calibri" w:hAnsi="Calibri" w:cs="Calibri"/>
                <w:sz w:val="22"/>
                <w:szCs w:val="22"/>
              </w:rPr>
              <w:t>6099</w:t>
            </w:r>
          </w:p>
        </w:tc>
        <w:tc>
          <w:tcPr>
            <w:tcW w:w="2175"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14:paraId="0BFCD2DD" w14:textId="77777777" w:rsidR="004F5276" w:rsidRPr="00736D38" w:rsidRDefault="004F5276" w:rsidP="00736D38">
            <w:pPr>
              <w:widowControl w:val="0"/>
              <w:jc w:val="right"/>
              <w:rPr>
                <w:rFonts w:ascii="Calibri" w:eastAsia="Calibri" w:hAnsi="Calibri" w:cs="Calibri"/>
                <w:sz w:val="22"/>
                <w:szCs w:val="22"/>
              </w:rPr>
            </w:pPr>
            <w:r w:rsidRPr="00736D38">
              <w:rPr>
                <w:rFonts w:ascii="Calibri" w:eastAsia="Calibri" w:hAnsi="Calibri" w:cs="Calibri"/>
                <w:sz w:val="22"/>
                <w:szCs w:val="22"/>
              </w:rPr>
              <w:t>46%</w:t>
            </w:r>
          </w:p>
        </w:tc>
      </w:tr>
      <w:tr w:rsidR="004F5276" w:rsidRPr="00736D38" w14:paraId="7CA51D8F" w14:textId="77777777" w:rsidTr="004F5276">
        <w:trPr>
          <w:trHeight w:val="300"/>
        </w:trPr>
        <w:tc>
          <w:tcPr>
            <w:tcW w:w="1755" w:type="dxa"/>
            <w:tcBorders>
              <w:top w:val="single" w:sz="6" w:space="0" w:color="CCCCCC"/>
              <w:left w:val="single" w:sz="6" w:space="0" w:color="000000"/>
              <w:bottom w:val="single" w:sz="6" w:space="0" w:color="CCCCCC"/>
              <w:right w:val="single" w:sz="6" w:space="0" w:color="CCCCCC"/>
            </w:tcBorders>
            <w:tcMar>
              <w:top w:w="0" w:type="dxa"/>
              <w:left w:w="40" w:type="dxa"/>
              <w:bottom w:w="0" w:type="dxa"/>
              <w:right w:w="40" w:type="dxa"/>
            </w:tcMar>
            <w:vAlign w:val="bottom"/>
          </w:tcPr>
          <w:p w14:paraId="09091ADD" w14:textId="77777777" w:rsidR="004F5276" w:rsidRPr="00736D38" w:rsidRDefault="004F5276" w:rsidP="00736D38">
            <w:pPr>
              <w:widowControl w:val="0"/>
              <w:rPr>
                <w:rFonts w:ascii="Calibri" w:eastAsia="Calibri" w:hAnsi="Calibri" w:cs="Calibri"/>
                <w:sz w:val="22"/>
                <w:szCs w:val="22"/>
              </w:rPr>
            </w:pPr>
            <w:r w:rsidRPr="00736D38">
              <w:rPr>
                <w:rFonts w:ascii="Calibri" w:eastAsia="Calibri" w:hAnsi="Calibri" w:cs="Calibri"/>
                <w:sz w:val="22"/>
                <w:szCs w:val="22"/>
              </w:rPr>
              <w:t>Peel (exl. Caledon)</w:t>
            </w:r>
          </w:p>
        </w:tc>
        <w:tc>
          <w:tcPr>
            <w:tcW w:w="243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3D585824" w14:textId="77777777" w:rsidR="004F5276" w:rsidRPr="00736D38" w:rsidRDefault="004F5276" w:rsidP="00736D38">
            <w:pPr>
              <w:widowControl w:val="0"/>
              <w:jc w:val="right"/>
              <w:rPr>
                <w:rFonts w:ascii="Calibri" w:eastAsia="Calibri" w:hAnsi="Calibri" w:cs="Calibri"/>
                <w:sz w:val="22"/>
                <w:szCs w:val="22"/>
              </w:rPr>
            </w:pPr>
            <w:r w:rsidRPr="00736D38">
              <w:rPr>
                <w:rFonts w:ascii="Calibri" w:eastAsia="Calibri" w:hAnsi="Calibri" w:cs="Calibri"/>
                <w:sz w:val="22"/>
                <w:szCs w:val="22"/>
              </w:rPr>
              <w:t>2070</w:t>
            </w:r>
          </w:p>
        </w:tc>
        <w:tc>
          <w:tcPr>
            <w:tcW w:w="204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013A3E57" w14:textId="77777777" w:rsidR="004F5276" w:rsidRPr="00736D38" w:rsidRDefault="004F5276" w:rsidP="00736D38">
            <w:pPr>
              <w:widowControl w:val="0"/>
              <w:jc w:val="right"/>
              <w:rPr>
                <w:rFonts w:ascii="Calibri" w:eastAsia="Calibri" w:hAnsi="Calibri" w:cs="Calibri"/>
                <w:sz w:val="22"/>
                <w:szCs w:val="22"/>
              </w:rPr>
            </w:pPr>
            <w:r w:rsidRPr="00736D38">
              <w:rPr>
                <w:rFonts w:ascii="Calibri" w:eastAsia="Calibri" w:hAnsi="Calibri" w:cs="Calibri"/>
                <w:sz w:val="22"/>
                <w:szCs w:val="22"/>
              </w:rPr>
              <w:t>10772*</w:t>
            </w:r>
          </w:p>
        </w:tc>
        <w:tc>
          <w:tcPr>
            <w:tcW w:w="2175"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14:paraId="32763A3E" w14:textId="77777777" w:rsidR="004F5276" w:rsidRPr="00736D38" w:rsidRDefault="004F5276" w:rsidP="00736D38">
            <w:pPr>
              <w:widowControl w:val="0"/>
              <w:jc w:val="right"/>
              <w:rPr>
                <w:rFonts w:ascii="Calibri" w:eastAsia="Calibri" w:hAnsi="Calibri" w:cs="Calibri"/>
                <w:sz w:val="22"/>
                <w:szCs w:val="22"/>
              </w:rPr>
            </w:pPr>
            <w:r w:rsidRPr="00736D38">
              <w:rPr>
                <w:rFonts w:ascii="Calibri" w:eastAsia="Calibri" w:hAnsi="Calibri" w:cs="Calibri"/>
                <w:sz w:val="22"/>
                <w:szCs w:val="22"/>
              </w:rPr>
              <w:t>19%</w:t>
            </w:r>
          </w:p>
        </w:tc>
      </w:tr>
      <w:tr w:rsidR="004F5276" w:rsidRPr="00736D38" w14:paraId="48A26E42" w14:textId="77777777" w:rsidTr="004F5276">
        <w:trPr>
          <w:trHeight w:val="300"/>
        </w:trPr>
        <w:tc>
          <w:tcPr>
            <w:tcW w:w="1755" w:type="dxa"/>
            <w:tcBorders>
              <w:top w:val="single" w:sz="6" w:space="0" w:color="CCCCCC"/>
              <w:left w:val="single" w:sz="6" w:space="0" w:color="000000"/>
              <w:bottom w:val="single" w:sz="6" w:space="0" w:color="CCCCCC"/>
              <w:right w:val="single" w:sz="6" w:space="0" w:color="CCCCCC"/>
            </w:tcBorders>
            <w:tcMar>
              <w:top w:w="0" w:type="dxa"/>
              <w:left w:w="40" w:type="dxa"/>
              <w:bottom w:w="0" w:type="dxa"/>
              <w:right w:w="40" w:type="dxa"/>
            </w:tcMar>
            <w:vAlign w:val="bottom"/>
          </w:tcPr>
          <w:p w14:paraId="656BF5C3" w14:textId="77777777" w:rsidR="004F5276" w:rsidRPr="00736D38" w:rsidRDefault="004F5276" w:rsidP="00736D38">
            <w:pPr>
              <w:widowControl w:val="0"/>
              <w:rPr>
                <w:rFonts w:ascii="Calibri" w:eastAsia="Calibri" w:hAnsi="Calibri" w:cs="Calibri"/>
                <w:sz w:val="22"/>
                <w:szCs w:val="22"/>
              </w:rPr>
            </w:pPr>
            <w:r w:rsidRPr="00736D38">
              <w:rPr>
                <w:rFonts w:ascii="Calibri" w:eastAsia="Calibri" w:hAnsi="Calibri" w:cs="Calibri"/>
                <w:sz w:val="22"/>
                <w:szCs w:val="22"/>
              </w:rPr>
              <w:t>Durham</w:t>
            </w:r>
          </w:p>
        </w:tc>
        <w:tc>
          <w:tcPr>
            <w:tcW w:w="243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79C03757" w14:textId="77777777" w:rsidR="004F5276" w:rsidRPr="00736D38" w:rsidRDefault="004F5276" w:rsidP="00736D38">
            <w:pPr>
              <w:widowControl w:val="0"/>
              <w:jc w:val="right"/>
              <w:rPr>
                <w:rFonts w:ascii="Calibri" w:eastAsia="Calibri" w:hAnsi="Calibri" w:cs="Calibri"/>
                <w:sz w:val="22"/>
                <w:szCs w:val="22"/>
              </w:rPr>
            </w:pPr>
            <w:r w:rsidRPr="00736D38">
              <w:rPr>
                <w:rFonts w:ascii="Calibri" w:eastAsia="Calibri" w:hAnsi="Calibri" w:cs="Calibri"/>
                <w:sz w:val="22"/>
                <w:szCs w:val="22"/>
              </w:rPr>
              <w:t>3147</w:t>
            </w:r>
          </w:p>
        </w:tc>
        <w:tc>
          <w:tcPr>
            <w:tcW w:w="204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5E180E52" w14:textId="77777777" w:rsidR="004F5276" w:rsidRPr="00736D38" w:rsidRDefault="004F5276" w:rsidP="00736D38">
            <w:pPr>
              <w:widowControl w:val="0"/>
              <w:jc w:val="right"/>
              <w:rPr>
                <w:rFonts w:ascii="Calibri" w:eastAsia="Calibri" w:hAnsi="Calibri" w:cs="Calibri"/>
                <w:sz w:val="22"/>
                <w:szCs w:val="22"/>
              </w:rPr>
            </w:pPr>
            <w:r w:rsidRPr="00736D38">
              <w:rPr>
                <w:rFonts w:ascii="Calibri" w:eastAsia="Calibri" w:hAnsi="Calibri" w:cs="Calibri"/>
                <w:sz w:val="22"/>
                <w:szCs w:val="22"/>
              </w:rPr>
              <w:t>5611</w:t>
            </w:r>
          </w:p>
        </w:tc>
        <w:tc>
          <w:tcPr>
            <w:tcW w:w="2175"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14:paraId="5BEA5A98" w14:textId="77777777" w:rsidR="004F5276" w:rsidRPr="00736D38" w:rsidRDefault="004F5276" w:rsidP="00736D38">
            <w:pPr>
              <w:widowControl w:val="0"/>
              <w:jc w:val="right"/>
              <w:rPr>
                <w:rFonts w:ascii="Calibri" w:eastAsia="Calibri" w:hAnsi="Calibri" w:cs="Calibri"/>
                <w:sz w:val="22"/>
                <w:szCs w:val="22"/>
              </w:rPr>
            </w:pPr>
            <w:r w:rsidRPr="00736D38">
              <w:rPr>
                <w:rFonts w:ascii="Calibri" w:eastAsia="Calibri" w:hAnsi="Calibri" w:cs="Calibri"/>
                <w:sz w:val="22"/>
                <w:szCs w:val="22"/>
              </w:rPr>
              <w:t>56%</w:t>
            </w:r>
          </w:p>
        </w:tc>
      </w:tr>
      <w:tr w:rsidR="004F5276" w:rsidRPr="00736D38" w14:paraId="3CD4BCEE" w14:textId="77777777" w:rsidTr="004F5276">
        <w:trPr>
          <w:trHeight w:val="300"/>
        </w:trPr>
        <w:tc>
          <w:tcPr>
            <w:tcW w:w="1755" w:type="dxa"/>
            <w:tcBorders>
              <w:top w:val="single" w:sz="6" w:space="0" w:color="CCCCCC"/>
              <w:left w:val="single" w:sz="6" w:space="0" w:color="000000"/>
              <w:bottom w:val="single" w:sz="6" w:space="0" w:color="CCCCCC"/>
              <w:right w:val="single" w:sz="6" w:space="0" w:color="CCCCCC"/>
            </w:tcBorders>
            <w:tcMar>
              <w:top w:w="0" w:type="dxa"/>
              <w:left w:w="40" w:type="dxa"/>
              <w:bottom w:w="0" w:type="dxa"/>
              <w:right w:w="40" w:type="dxa"/>
            </w:tcMar>
            <w:vAlign w:val="bottom"/>
          </w:tcPr>
          <w:p w14:paraId="1A6CA92E" w14:textId="77777777" w:rsidR="004F5276" w:rsidRPr="00736D38" w:rsidRDefault="004F5276" w:rsidP="00736D38">
            <w:pPr>
              <w:widowControl w:val="0"/>
              <w:rPr>
                <w:rFonts w:ascii="Calibri" w:eastAsia="Calibri" w:hAnsi="Calibri" w:cs="Calibri"/>
                <w:sz w:val="22"/>
                <w:szCs w:val="22"/>
              </w:rPr>
            </w:pPr>
            <w:r w:rsidRPr="00736D38">
              <w:rPr>
                <w:rFonts w:ascii="Calibri" w:eastAsia="Calibri" w:hAnsi="Calibri" w:cs="Calibri"/>
                <w:sz w:val="22"/>
                <w:szCs w:val="22"/>
              </w:rPr>
              <w:t>City of Hamilton</w:t>
            </w:r>
          </w:p>
        </w:tc>
        <w:tc>
          <w:tcPr>
            <w:tcW w:w="243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55A2FCF6" w14:textId="77777777" w:rsidR="004F5276" w:rsidRPr="00736D38" w:rsidRDefault="004F5276" w:rsidP="00736D38">
            <w:pPr>
              <w:widowControl w:val="0"/>
              <w:jc w:val="right"/>
              <w:rPr>
                <w:rFonts w:ascii="Calibri" w:eastAsia="Calibri" w:hAnsi="Calibri" w:cs="Calibri"/>
                <w:sz w:val="22"/>
                <w:szCs w:val="22"/>
              </w:rPr>
            </w:pPr>
            <w:r w:rsidRPr="00736D38">
              <w:rPr>
                <w:rFonts w:ascii="Calibri" w:eastAsia="Calibri" w:hAnsi="Calibri" w:cs="Calibri"/>
                <w:sz w:val="22"/>
                <w:szCs w:val="22"/>
              </w:rPr>
              <w:t>918</w:t>
            </w:r>
          </w:p>
        </w:tc>
        <w:tc>
          <w:tcPr>
            <w:tcW w:w="204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68CF4C7F" w14:textId="77777777" w:rsidR="004F5276" w:rsidRPr="00736D38" w:rsidRDefault="004F5276" w:rsidP="00736D38">
            <w:pPr>
              <w:widowControl w:val="0"/>
              <w:jc w:val="right"/>
              <w:rPr>
                <w:rFonts w:ascii="Calibri" w:eastAsia="Calibri" w:hAnsi="Calibri" w:cs="Calibri"/>
                <w:sz w:val="22"/>
                <w:szCs w:val="22"/>
              </w:rPr>
            </w:pPr>
            <w:r w:rsidRPr="00736D38">
              <w:rPr>
                <w:rFonts w:ascii="Calibri" w:eastAsia="Calibri" w:hAnsi="Calibri" w:cs="Calibri"/>
                <w:sz w:val="22"/>
                <w:szCs w:val="22"/>
              </w:rPr>
              <w:t>4554</w:t>
            </w:r>
          </w:p>
        </w:tc>
        <w:tc>
          <w:tcPr>
            <w:tcW w:w="2175"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14:paraId="73B689E3" w14:textId="77777777" w:rsidR="004F5276" w:rsidRPr="00736D38" w:rsidRDefault="004F5276" w:rsidP="00736D38">
            <w:pPr>
              <w:widowControl w:val="0"/>
              <w:jc w:val="right"/>
              <w:rPr>
                <w:rFonts w:ascii="Calibri" w:eastAsia="Calibri" w:hAnsi="Calibri" w:cs="Calibri"/>
                <w:sz w:val="22"/>
                <w:szCs w:val="22"/>
              </w:rPr>
            </w:pPr>
            <w:r w:rsidRPr="00736D38">
              <w:rPr>
                <w:rFonts w:ascii="Calibri" w:eastAsia="Calibri" w:hAnsi="Calibri" w:cs="Calibri"/>
                <w:sz w:val="22"/>
                <w:szCs w:val="22"/>
              </w:rPr>
              <w:t>20%</w:t>
            </w:r>
          </w:p>
        </w:tc>
      </w:tr>
      <w:tr w:rsidR="004F5276" w:rsidRPr="00736D38" w14:paraId="6266A596" w14:textId="77777777" w:rsidTr="004F5276">
        <w:trPr>
          <w:trHeight w:val="300"/>
        </w:trPr>
        <w:tc>
          <w:tcPr>
            <w:tcW w:w="1755" w:type="dxa"/>
            <w:tcBorders>
              <w:top w:val="single" w:sz="6" w:space="0" w:color="CCCCCC"/>
              <w:left w:val="single" w:sz="6" w:space="0" w:color="000000"/>
              <w:bottom w:val="single" w:sz="6" w:space="0" w:color="CCCCCC"/>
              <w:right w:val="single" w:sz="6" w:space="0" w:color="CCCCCC"/>
            </w:tcBorders>
            <w:tcMar>
              <w:top w:w="0" w:type="dxa"/>
              <w:left w:w="40" w:type="dxa"/>
              <w:bottom w:w="0" w:type="dxa"/>
              <w:right w:w="40" w:type="dxa"/>
            </w:tcMar>
            <w:vAlign w:val="bottom"/>
          </w:tcPr>
          <w:p w14:paraId="4860CCDA" w14:textId="77777777" w:rsidR="004F5276" w:rsidRPr="00736D38" w:rsidRDefault="004F5276" w:rsidP="00736D38">
            <w:pPr>
              <w:widowControl w:val="0"/>
              <w:rPr>
                <w:rFonts w:ascii="Calibri" w:eastAsia="Calibri" w:hAnsi="Calibri" w:cs="Calibri"/>
                <w:sz w:val="22"/>
                <w:szCs w:val="22"/>
              </w:rPr>
            </w:pPr>
            <w:r w:rsidRPr="00736D38">
              <w:rPr>
                <w:rFonts w:ascii="Calibri" w:eastAsia="Calibri" w:hAnsi="Calibri" w:cs="Calibri"/>
                <w:sz w:val="22"/>
                <w:szCs w:val="22"/>
              </w:rPr>
              <w:t>Simcoe</w:t>
            </w:r>
          </w:p>
        </w:tc>
        <w:tc>
          <w:tcPr>
            <w:tcW w:w="243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449FB198" w14:textId="77777777" w:rsidR="004F5276" w:rsidRPr="00736D38" w:rsidRDefault="004F5276" w:rsidP="00736D38">
            <w:pPr>
              <w:widowControl w:val="0"/>
              <w:jc w:val="right"/>
              <w:rPr>
                <w:rFonts w:ascii="Calibri" w:eastAsia="Calibri" w:hAnsi="Calibri" w:cs="Calibri"/>
                <w:sz w:val="22"/>
                <w:szCs w:val="22"/>
              </w:rPr>
            </w:pPr>
            <w:r w:rsidRPr="00736D38">
              <w:rPr>
                <w:rFonts w:ascii="Calibri" w:eastAsia="Calibri" w:hAnsi="Calibri" w:cs="Calibri"/>
                <w:sz w:val="22"/>
                <w:szCs w:val="22"/>
              </w:rPr>
              <w:t>2919</w:t>
            </w:r>
          </w:p>
        </w:tc>
        <w:tc>
          <w:tcPr>
            <w:tcW w:w="204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3D6CEB5C" w14:textId="77777777" w:rsidR="004F5276" w:rsidRPr="00736D38" w:rsidRDefault="004F5276" w:rsidP="00736D38">
            <w:pPr>
              <w:widowControl w:val="0"/>
              <w:jc w:val="right"/>
              <w:rPr>
                <w:rFonts w:ascii="Calibri" w:eastAsia="Calibri" w:hAnsi="Calibri" w:cs="Calibri"/>
                <w:sz w:val="22"/>
                <w:szCs w:val="22"/>
              </w:rPr>
            </w:pPr>
            <w:r w:rsidRPr="00736D38">
              <w:rPr>
                <w:rFonts w:ascii="Calibri" w:eastAsia="Calibri" w:hAnsi="Calibri" w:cs="Calibri"/>
                <w:sz w:val="22"/>
                <w:szCs w:val="22"/>
              </w:rPr>
              <w:t>6527</w:t>
            </w:r>
          </w:p>
        </w:tc>
        <w:tc>
          <w:tcPr>
            <w:tcW w:w="2175"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14:paraId="168E0BC8" w14:textId="77777777" w:rsidR="004F5276" w:rsidRPr="00736D38" w:rsidRDefault="004F5276" w:rsidP="00736D38">
            <w:pPr>
              <w:widowControl w:val="0"/>
              <w:jc w:val="right"/>
              <w:rPr>
                <w:rFonts w:ascii="Calibri" w:eastAsia="Calibri" w:hAnsi="Calibri" w:cs="Calibri"/>
                <w:sz w:val="22"/>
                <w:szCs w:val="22"/>
              </w:rPr>
            </w:pPr>
            <w:r w:rsidRPr="00736D38">
              <w:rPr>
                <w:rFonts w:ascii="Calibri" w:eastAsia="Calibri" w:hAnsi="Calibri" w:cs="Calibri"/>
                <w:sz w:val="22"/>
                <w:szCs w:val="22"/>
              </w:rPr>
              <w:t>45%</w:t>
            </w:r>
          </w:p>
        </w:tc>
      </w:tr>
      <w:tr w:rsidR="004F5276" w:rsidRPr="00736D38" w14:paraId="61A20467" w14:textId="77777777" w:rsidTr="004F5276">
        <w:trPr>
          <w:trHeight w:val="280"/>
        </w:trPr>
        <w:tc>
          <w:tcPr>
            <w:tcW w:w="1755" w:type="dxa"/>
            <w:tcBorders>
              <w:top w:val="single" w:sz="6" w:space="0" w:color="CCCCCC"/>
              <w:left w:val="single" w:sz="6" w:space="0" w:color="000000"/>
              <w:bottom w:val="single" w:sz="6" w:space="0" w:color="000000"/>
              <w:right w:val="single" w:sz="6" w:space="0" w:color="CCCCCC"/>
            </w:tcBorders>
            <w:tcMar>
              <w:top w:w="0" w:type="dxa"/>
              <w:left w:w="40" w:type="dxa"/>
              <w:bottom w:w="0" w:type="dxa"/>
              <w:right w:w="40" w:type="dxa"/>
            </w:tcMar>
            <w:vAlign w:val="bottom"/>
          </w:tcPr>
          <w:p w14:paraId="16EB5299" w14:textId="77777777" w:rsidR="004F5276" w:rsidRPr="00736D38" w:rsidRDefault="004F5276" w:rsidP="00736D38">
            <w:pPr>
              <w:widowControl w:val="0"/>
              <w:rPr>
                <w:rFonts w:ascii="Calibri" w:eastAsia="Calibri" w:hAnsi="Calibri" w:cs="Calibri"/>
                <w:sz w:val="22"/>
                <w:szCs w:val="22"/>
              </w:rPr>
            </w:pPr>
            <w:r w:rsidRPr="00736D38">
              <w:rPr>
                <w:rFonts w:ascii="Calibri" w:eastAsia="Calibri" w:hAnsi="Calibri" w:cs="Calibri"/>
                <w:sz w:val="22"/>
                <w:szCs w:val="22"/>
              </w:rPr>
              <w:t xml:space="preserve">Niagara </w:t>
            </w:r>
          </w:p>
        </w:tc>
        <w:tc>
          <w:tcPr>
            <w:tcW w:w="2430"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bottom"/>
          </w:tcPr>
          <w:p w14:paraId="5CCC68A9" w14:textId="77777777" w:rsidR="004F5276" w:rsidRPr="00736D38" w:rsidRDefault="004F5276" w:rsidP="00736D38">
            <w:pPr>
              <w:widowControl w:val="0"/>
              <w:jc w:val="right"/>
              <w:rPr>
                <w:rFonts w:ascii="Calibri" w:eastAsia="Calibri" w:hAnsi="Calibri" w:cs="Calibri"/>
                <w:sz w:val="22"/>
                <w:szCs w:val="22"/>
              </w:rPr>
            </w:pPr>
            <w:r w:rsidRPr="00736D38">
              <w:rPr>
                <w:rFonts w:ascii="Calibri" w:eastAsia="Calibri" w:hAnsi="Calibri" w:cs="Calibri"/>
                <w:sz w:val="22"/>
                <w:szCs w:val="22"/>
              </w:rPr>
              <w:t>2300</w:t>
            </w:r>
          </w:p>
        </w:tc>
        <w:tc>
          <w:tcPr>
            <w:tcW w:w="2040"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bottom"/>
          </w:tcPr>
          <w:p w14:paraId="28D7F443" w14:textId="77777777" w:rsidR="004F5276" w:rsidRPr="00736D38" w:rsidRDefault="004F5276" w:rsidP="00736D38">
            <w:pPr>
              <w:widowControl w:val="0"/>
              <w:jc w:val="right"/>
              <w:rPr>
                <w:rFonts w:ascii="Calibri" w:eastAsia="Calibri" w:hAnsi="Calibri" w:cs="Calibri"/>
                <w:sz w:val="22"/>
                <w:szCs w:val="22"/>
              </w:rPr>
            </w:pPr>
            <w:r w:rsidRPr="00736D38">
              <w:rPr>
                <w:rFonts w:ascii="Calibri" w:eastAsia="Calibri" w:hAnsi="Calibri" w:cs="Calibri"/>
                <w:sz w:val="22"/>
                <w:szCs w:val="22"/>
              </w:rPr>
              <w:t>6895*</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FC27225" w14:textId="77777777" w:rsidR="004F5276" w:rsidRPr="00736D38" w:rsidRDefault="004F5276" w:rsidP="00736D38">
            <w:pPr>
              <w:widowControl w:val="0"/>
              <w:jc w:val="right"/>
              <w:rPr>
                <w:rFonts w:ascii="Calibri" w:eastAsia="Calibri" w:hAnsi="Calibri" w:cs="Calibri"/>
                <w:sz w:val="22"/>
                <w:szCs w:val="22"/>
              </w:rPr>
            </w:pPr>
            <w:r w:rsidRPr="00736D38">
              <w:rPr>
                <w:rFonts w:ascii="Calibri" w:eastAsia="Calibri" w:hAnsi="Calibri" w:cs="Calibri"/>
                <w:sz w:val="22"/>
                <w:szCs w:val="22"/>
              </w:rPr>
              <w:t>33%</w:t>
            </w:r>
          </w:p>
        </w:tc>
      </w:tr>
      <w:tr w:rsidR="004F5276" w:rsidRPr="00736D38" w14:paraId="428BE733" w14:textId="77777777" w:rsidTr="004F5276">
        <w:trPr>
          <w:trHeight w:val="300"/>
        </w:trPr>
        <w:tc>
          <w:tcPr>
            <w:tcW w:w="1755" w:type="dxa"/>
            <w:tcBorders>
              <w:top w:val="single" w:sz="6" w:space="0" w:color="CCCCCC"/>
              <w:left w:val="single" w:sz="6" w:space="0" w:color="000000"/>
              <w:bottom w:val="single" w:sz="6" w:space="0" w:color="000000"/>
              <w:right w:val="single" w:sz="6" w:space="0" w:color="000000"/>
            </w:tcBorders>
            <w:shd w:val="clear" w:color="auto" w:fill="E2EFD9"/>
            <w:tcMar>
              <w:top w:w="0" w:type="dxa"/>
              <w:left w:w="40" w:type="dxa"/>
              <w:bottom w:w="0" w:type="dxa"/>
              <w:right w:w="40" w:type="dxa"/>
            </w:tcMar>
            <w:vAlign w:val="bottom"/>
          </w:tcPr>
          <w:p w14:paraId="1F8FD323" w14:textId="77777777" w:rsidR="004F5276" w:rsidRPr="00736D38" w:rsidRDefault="004F5276" w:rsidP="00736D38">
            <w:pPr>
              <w:widowControl w:val="0"/>
              <w:rPr>
                <w:rFonts w:ascii="Calibri" w:eastAsia="Calibri" w:hAnsi="Calibri" w:cs="Calibri"/>
                <w:sz w:val="22"/>
                <w:szCs w:val="22"/>
              </w:rPr>
            </w:pPr>
            <w:r w:rsidRPr="00736D38">
              <w:rPr>
                <w:rFonts w:ascii="Calibri" w:eastAsia="Calibri" w:hAnsi="Calibri" w:cs="Calibri"/>
                <w:b/>
                <w:sz w:val="22"/>
                <w:szCs w:val="22"/>
              </w:rPr>
              <w:t>Total hectares</w:t>
            </w:r>
          </w:p>
        </w:tc>
        <w:tc>
          <w:tcPr>
            <w:tcW w:w="2430" w:type="dxa"/>
            <w:tcBorders>
              <w:top w:val="single" w:sz="6" w:space="0" w:color="CCCCCC"/>
              <w:left w:val="single" w:sz="6" w:space="0" w:color="CCCCCC"/>
              <w:bottom w:val="single" w:sz="6" w:space="0" w:color="000000"/>
              <w:right w:val="single" w:sz="6" w:space="0" w:color="000000"/>
            </w:tcBorders>
            <w:shd w:val="clear" w:color="auto" w:fill="E2EFD9"/>
            <w:tcMar>
              <w:top w:w="0" w:type="dxa"/>
              <w:left w:w="40" w:type="dxa"/>
              <w:bottom w:w="0" w:type="dxa"/>
              <w:right w:w="40" w:type="dxa"/>
            </w:tcMar>
            <w:vAlign w:val="bottom"/>
          </w:tcPr>
          <w:p w14:paraId="6BA3B8E2" w14:textId="77777777" w:rsidR="004F5276" w:rsidRPr="00736D38" w:rsidRDefault="004F5276" w:rsidP="00736D38">
            <w:pPr>
              <w:widowControl w:val="0"/>
              <w:jc w:val="right"/>
              <w:rPr>
                <w:rFonts w:ascii="Calibri" w:eastAsia="Calibri" w:hAnsi="Calibri" w:cs="Calibri"/>
                <w:sz w:val="22"/>
                <w:szCs w:val="22"/>
              </w:rPr>
            </w:pPr>
            <w:r w:rsidRPr="00736D38">
              <w:rPr>
                <w:rFonts w:ascii="Calibri" w:eastAsia="Calibri" w:hAnsi="Calibri" w:cs="Calibri"/>
                <w:b/>
                <w:sz w:val="22"/>
                <w:szCs w:val="22"/>
              </w:rPr>
              <w:t>16742</w:t>
            </w:r>
          </w:p>
        </w:tc>
        <w:tc>
          <w:tcPr>
            <w:tcW w:w="2040" w:type="dxa"/>
            <w:tcBorders>
              <w:top w:val="single" w:sz="6" w:space="0" w:color="CCCCCC"/>
              <w:left w:val="single" w:sz="6" w:space="0" w:color="CCCCCC"/>
              <w:bottom w:val="single" w:sz="6" w:space="0" w:color="000000"/>
              <w:right w:val="single" w:sz="6" w:space="0" w:color="000000"/>
            </w:tcBorders>
            <w:shd w:val="clear" w:color="auto" w:fill="E2EFD9"/>
            <w:tcMar>
              <w:top w:w="0" w:type="dxa"/>
              <w:left w:w="40" w:type="dxa"/>
              <w:bottom w:w="0" w:type="dxa"/>
              <w:right w:w="40" w:type="dxa"/>
            </w:tcMar>
            <w:vAlign w:val="bottom"/>
          </w:tcPr>
          <w:p w14:paraId="02F8A7C6" w14:textId="77777777" w:rsidR="004F5276" w:rsidRPr="00736D38" w:rsidRDefault="004F5276" w:rsidP="00736D38">
            <w:pPr>
              <w:widowControl w:val="0"/>
              <w:jc w:val="right"/>
              <w:rPr>
                <w:rFonts w:ascii="Calibri" w:eastAsia="Calibri" w:hAnsi="Calibri" w:cs="Calibri"/>
                <w:sz w:val="22"/>
                <w:szCs w:val="22"/>
              </w:rPr>
            </w:pPr>
            <w:r w:rsidRPr="00736D38">
              <w:rPr>
                <w:rFonts w:ascii="Calibri" w:eastAsia="Calibri" w:hAnsi="Calibri" w:cs="Calibri"/>
                <w:b/>
                <w:sz w:val="22"/>
                <w:szCs w:val="22"/>
              </w:rPr>
              <w:t>48217</w:t>
            </w:r>
          </w:p>
        </w:tc>
        <w:tc>
          <w:tcPr>
            <w:tcW w:w="2175" w:type="dxa"/>
            <w:tcBorders>
              <w:top w:val="single" w:sz="6" w:space="0" w:color="CCCCCC"/>
              <w:left w:val="single" w:sz="6" w:space="0" w:color="CCCCCC"/>
              <w:bottom w:val="single" w:sz="6" w:space="0" w:color="000000"/>
              <w:right w:val="single" w:sz="6" w:space="0" w:color="000000"/>
            </w:tcBorders>
            <w:shd w:val="clear" w:color="auto" w:fill="E2EFD9"/>
            <w:tcMar>
              <w:top w:w="0" w:type="dxa"/>
              <w:left w:w="40" w:type="dxa"/>
              <w:bottom w:w="0" w:type="dxa"/>
              <w:right w:w="40" w:type="dxa"/>
            </w:tcMar>
            <w:vAlign w:val="bottom"/>
          </w:tcPr>
          <w:p w14:paraId="1848F92D" w14:textId="77777777" w:rsidR="004F5276" w:rsidRPr="00736D38" w:rsidRDefault="004F5276" w:rsidP="00736D38">
            <w:pPr>
              <w:widowControl w:val="0"/>
              <w:jc w:val="right"/>
              <w:rPr>
                <w:rFonts w:ascii="Calibri" w:eastAsia="Calibri" w:hAnsi="Calibri" w:cs="Calibri"/>
                <w:sz w:val="22"/>
                <w:szCs w:val="22"/>
              </w:rPr>
            </w:pPr>
            <w:r w:rsidRPr="00736D38">
              <w:rPr>
                <w:rFonts w:ascii="Calibri" w:eastAsia="Calibri" w:hAnsi="Calibri" w:cs="Calibri"/>
                <w:b/>
                <w:sz w:val="22"/>
                <w:szCs w:val="22"/>
              </w:rPr>
              <w:t>35%</w:t>
            </w:r>
          </w:p>
        </w:tc>
      </w:tr>
      <w:tr w:rsidR="004F5276" w:rsidRPr="00736D38" w14:paraId="1CC0D382" w14:textId="77777777" w:rsidTr="004F5276">
        <w:trPr>
          <w:trHeight w:val="450"/>
        </w:trPr>
        <w:tc>
          <w:tcPr>
            <w:tcW w:w="8400" w:type="dxa"/>
            <w:gridSpan w:val="4"/>
            <w:vMerge w:val="restart"/>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14:paraId="0C3174AF" w14:textId="77777777" w:rsidR="004F5276" w:rsidRPr="00736D38" w:rsidRDefault="004F5276" w:rsidP="00736D38">
            <w:pPr>
              <w:widowControl w:val="0"/>
              <w:rPr>
                <w:rFonts w:ascii="Calibri" w:eastAsia="Calibri" w:hAnsi="Calibri" w:cs="Calibri"/>
                <w:sz w:val="22"/>
                <w:szCs w:val="22"/>
              </w:rPr>
            </w:pPr>
          </w:p>
          <w:p w14:paraId="6056194A" w14:textId="77777777" w:rsidR="004F5276" w:rsidRPr="00736D38" w:rsidRDefault="004F5276" w:rsidP="00736D38">
            <w:pPr>
              <w:widowControl w:val="0"/>
              <w:rPr>
                <w:rFonts w:ascii="Calibri" w:eastAsia="Calibri" w:hAnsi="Calibri" w:cs="Calibri"/>
                <w:sz w:val="22"/>
                <w:szCs w:val="22"/>
              </w:rPr>
            </w:pPr>
          </w:p>
          <w:p w14:paraId="6215232B" w14:textId="77777777" w:rsidR="004F5276" w:rsidRPr="00736D38" w:rsidRDefault="004F5276" w:rsidP="00736D38">
            <w:pPr>
              <w:widowControl w:val="0"/>
              <w:rPr>
                <w:rFonts w:ascii="Calibri" w:eastAsia="Calibri" w:hAnsi="Calibri" w:cs="Calibri"/>
                <w:sz w:val="22"/>
                <w:szCs w:val="22"/>
              </w:rPr>
            </w:pPr>
            <w:r w:rsidRPr="00736D38">
              <w:rPr>
                <w:rFonts w:ascii="Calibri" w:eastAsia="Calibri" w:hAnsi="Calibri" w:cs="Calibri"/>
                <w:sz w:val="22"/>
                <w:szCs w:val="22"/>
              </w:rPr>
              <w:t xml:space="preserve">York = </w:t>
            </w:r>
            <w:hyperlink r:id="rId2">
              <w:r w:rsidRPr="00736D38">
                <w:rPr>
                  <w:rFonts w:ascii="Calibri" w:eastAsia="Calibri" w:hAnsi="Calibri" w:cs="Calibri"/>
                  <w:color w:val="1155CC"/>
                  <w:sz w:val="22"/>
                  <w:szCs w:val="22"/>
                  <w:u w:val="single"/>
                </w:rPr>
                <w:t>https://www.york.ca/wps/wcm/connect/yorkpublic/faa33468-b3c9-464a-9676-10be05613f20/mar+22+vacant+ex.pdf?MOD=AJPERES</w:t>
              </w:r>
            </w:hyperlink>
          </w:p>
          <w:p w14:paraId="5FF3090D" w14:textId="77777777" w:rsidR="004F5276" w:rsidRPr="00736D38" w:rsidRDefault="004F5276" w:rsidP="00736D38">
            <w:pPr>
              <w:widowControl w:val="0"/>
              <w:rPr>
                <w:rFonts w:ascii="Calibri" w:eastAsia="Calibri" w:hAnsi="Calibri" w:cs="Calibri"/>
                <w:sz w:val="22"/>
                <w:szCs w:val="22"/>
              </w:rPr>
            </w:pPr>
            <w:r w:rsidRPr="00736D38">
              <w:rPr>
                <w:rFonts w:ascii="Calibri" w:eastAsia="Calibri" w:hAnsi="Calibri" w:cs="Calibri"/>
                <w:sz w:val="22"/>
                <w:szCs w:val="22"/>
              </w:rPr>
              <w:t xml:space="preserve">Halton = </w:t>
            </w:r>
            <w:hyperlink r:id="rId3">
              <w:r w:rsidRPr="00736D38">
                <w:rPr>
                  <w:rFonts w:ascii="Calibri" w:eastAsia="Calibri" w:hAnsi="Calibri" w:cs="Calibri"/>
                  <w:color w:val="1155CC"/>
                  <w:sz w:val="22"/>
                  <w:szCs w:val="22"/>
                  <w:u w:val="single"/>
                </w:rPr>
                <w:t>http://beta.halton.ca/repository/Halton-Competitiveness-Study-2016</w:t>
              </w:r>
            </w:hyperlink>
          </w:p>
          <w:p w14:paraId="09AF2F29" w14:textId="77777777" w:rsidR="004F5276" w:rsidRPr="00736D38" w:rsidRDefault="004F5276" w:rsidP="00736D38">
            <w:pPr>
              <w:widowControl w:val="0"/>
              <w:rPr>
                <w:rFonts w:ascii="Calibri" w:eastAsia="Calibri" w:hAnsi="Calibri" w:cs="Calibri"/>
                <w:sz w:val="22"/>
                <w:szCs w:val="22"/>
              </w:rPr>
            </w:pPr>
            <w:r w:rsidRPr="00736D38">
              <w:rPr>
                <w:rFonts w:ascii="Calibri" w:eastAsia="Calibri" w:hAnsi="Calibri" w:cs="Calibri"/>
                <w:sz w:val="22"/>
                <w:szCs w:val="22"/>
              </w:rPr>
              <w:t xml:space="preserve">Peel = </w:t>
            </w:r>
            <w:hyperlink r:id="rId4">
              <w:r w:rsidRPr="00736D38">
                <w:rPr>
                  <w:rFonts w:ascii="Calibri" w:eastAsia="Calibri" w:hAnsi="Calibri" w:cs="Calibri"/>
                  <w:color w:val="1155CC"/>
                  <w:sz w:val="22"/>
                  <w:szCs w:val="22"/>
                  <w:u w:val="single"/>
                </w:rPr>
                <w:t xml:space="preserve">http://www5.mississauga.ca/research_catalogue/N_12_2016_VacantLands_Profile.pdf </w:t>
              </w:r>
            </w:hyperlink>
            <w:r w:rsidRPr="00736D38">
              <w:rPr>
                <w:rFonts w:ascii="Calibri" w:eastAsia="Calibri" w:hAnsi="Calibri" w:cs="Calibri"/>
                <w:sz w:val="22"/>
                <w:szCs w:val="22"/>
              </w:rPr>
              <w:t>(Mississauga)</w:t>
            </w:r>
          </w:p>
          <w:p w14:paraId="20B0FFE7" w14:textId="77777777" w:rsidR="004F5276" w:rsidRPr="00736D38" w:rsidRDefault="00180005" w:rsidP="00736D38">
            <w:pPr>
              <w:widowControl w:val="0"/>
              <w:rPr>
                <w:rFonts w:ascii="Calibri" w:eastAsia="Calibri" w:hAnsi="Calibri" w:cs="Calibri"/>
                <w:sz w:val="22"/>
                <w:szCs w:val="22"/>
              </w:rPr>
            </w:pPr>
            <w:hyperlink r:id="rId5">
              <w:r w:rsidR="004F5276" w:rsidRPr="00736D38">
                <w:rPr>
                  <w:rFonts w:ascii="Calibri" w:eastAsia="Calibri" w:hAnsi="Calibri" w:cs="Calibri"/>
                  <w:color w:val="1155CC"/>
                  <w:sz w:val="22"/>
                  <w:szCs w:val="22"/>
                  <w:u w:val="single"/>
                </w:rPr>
                <w:t>http://www.brampton.ca/EN/City-Hall/meetings-agendas/PDD%20Committee%202010/20151207pis_Full%20Agenda.pdf</w:t>
              </w:r>
            </w:hyperlink>
            <w:r w:rsidR="004F5276" w:rsidRPr="00736D38">
              <w:rPr>
                <w:rFonts w:ascii="Calibri" w:eastAsia="Calibri" w:hAnsi="Calibri" w:cs="Calibri"/>
                <w:sz w:val="22"/>
                <w:szCs w:val="22"/>
              </w:rPr>
              <w:t xml:space="preserve"> (Brampton)</w:t>
            </w:r>
          </w:p>
          <w:p w14:paraId="415609C0" w14:textId="77777777" w:rsidR="004F5276" w:rsidRPr="00736D38" w:rsidRDefault="004F5276" w:rsidP="00736D38">
            <w:pPr>
              <w:widowControl w:val="0"/>
              <w:rPr>
                <w:rFonts w:ascii="Calibri" w:eastAsia="Calibri" w:hAnsi="Calibri" w:cs="Calibri"/>
                <w:sz w:val="22"/>
                <w:szCs w:val="22"/>
              </w:rPr>
            </w:pPr>
            <w:r w:rsidRPr="00736D38">
              <w:rPr>
                <w:rFonts w:ascii="Calibri" w:eastAsia="Calibri" w:hAnsi="Calibri" w:cs="Calibri"/>
                <w:sz w:val="22"/>
                <w:szCs w:val="22"/>
              </w:rPr>
              <w:t xml:space="preserve"> Durham= </w:t>
            </w:r>
            <w:hyperlink r:id="rId6">
              <w:r w:rsidRPr="00736D38">
                <w:rPr>
                  <w:rFonts w:ascii="Calibri" w:eastAsia="Calibri" w:hAnsi="Calibri" w:cs="Calibri"/>
                  <w:color w:val="1155CC"/>
                  <w:sz w:val="22"/>
                  <w:szCs w:val="22"/>
                  <w:u w:val="single"/>
                </w:rPr>
                <w:t>https://www.durham.ca/en/living-here/resources/Documents/EnvironmentalStability/EAServicing_Durham.pdf</w:t>
              </w:r>
            </w:hyperlink>
          </w:p>
        </w:tc>
      </w:tr>
      <w:tr w:rsidR="004F5276" w:rsidRPr="00736D38" w14:paraId="1AFE335D" w14:textId="77777777" w:rsidTr="004F5276">
        <w:trPr>
          <w:trHeight w:val="450"/>
        </w:trPr>
        <w:tc>
          <w:tcPr>
            <w:tcW w:w="8400" w:type="dxa"/>
            <w:gridSpan w:val="4"/>
            <w:vMerge/>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14:paraId="2C7EE404" w14:textId="77777777" w:rsidR="004F5276" w:rsidRPr="00736D38" w:rsidRDefault="004F5276" w:rsidP="00736D38">
            <w:pPr>
              <w:widowControl w:val="0"/>
              <w:pBdr>
                <w:top w:val="nil"/>
                <w:left w:val="nil"/>
                <w:bottom w:val="nil"/>
                <w:right w:val="nil"/>
                <w:between w:val="nil"/>
              </w:pBdr>
              <w:rPr>
                <w:rFonts w:ascii="Calibri" w:eastAsia="Calibri" w:hAnsi="Calibri" w:cs="Calibri"/>
                <w:sz w:val="22"/>
                <w:szCs w:val="22"/>
              </w:rPr>
            </w:pPr>
          </w:p>
        </w:tc>
      </w:tr>
      <w:tr w:rsidR="004F5276" w:rsidRPr="00736D38" w14:paraId="54E7DED8" w14:textId="77777777" w:rsidTr="004F5276">
        <w:trPr>
          <w:trHeight w:val="450"/>
        </w:trPr>
        <w:tc>
          <w:tcPr>
            <w:tcW w:w="8400" w:type="dxa"/>
            <w:gridSpan w:val="4"/>
            <w:vMerge/>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14:paraId="25053C52" w14:textId="77777777" w:rsidR="004F5276" w:rsidRPr="00736D38" w:rsidRDefault="004F5276" w:rsidP="00736D38">
            <w:pPr>
              <w:widowControl w:val="0"/>
              <w:pBdr>
                <w:top w:val="nil"/>
                <w:left w:val="nil"/>
                <w:bottom w:val="nil"/>
                <w:right w:val="nil"/>
                <w:between w:val="nil"/>
              </w:pBdr>
              <w:rPr>
                <w:rFonts w:ascii="Calibri" w:eastAsia="Calibri" w:hAnsi="Calibri" w:cs="Calibri"/>
                <w:sz w:val="22"/>
                <w:szCs w:val="22"/>
              </w:rPr>
            </w:pPr>
          </w:p>
        </w:tc>
      </w:tr>
      <w:tr w:rsidR="004F5276" w:rsidRPr="00736D38" w14:paraId="2C5BE7C7" w14:textId="77777777" w:rsidTr="004F5276">
        <w:trPr>
          <w:trHeight w:val="450"/>
        </w:trPr>
        <w:tc>
          <w:tcPr>
            <w:tcW w:w="8400" w:type="dxa"/>
            <w:gridSpan w:val="4"/>
            <w:vMerge/>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14:paraId="5E5CE221" w14:textId="77777777" w:rsidR="004F5276" w:rsidRPr="00736D38" w:rsidRDefault="004F5276" w:rsidP="00736D38">
            <w:pPr>
              <w:widowControl w:val="0"/>
              <w:pBdr>
                <w:top w:val="nil"/>
                <w:left w:val="nil"/>
                <w:bottom w:val="nil"/>
                <w:right w:val="nil"/>
                <w:between w:val="nil"/>
              </w:pBdr>
              <w:rPr>
                <w:rFonts w:ascii="Calibri" w:eastAsia="Calibri" w:hAnsi="Calibri" w:cs="Calibri"/>
                <w:sz w:val="22"/>
                <w:szCs w:val="22"/>
              </w:rPr>
            </w:pPr>
          </w:p>
        </w:tc>
      </w:tr>
      <w:tr w:rsidR="004F5276" w:rsidRPr="00736D38" w14:paraId="52FC457C" w14:textId="77777777" w:rsidTr="004F5276">
        <w:trPr>
          <w:trHeight w:val="450"/>
        </w:trPr>
        <w:tc>
          <w:tcPr>
            <w:tcW w:w="8400" w:type="dxa"/>
            <w:gridSpan w:val="4"/>
            <w:vMerge/>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14:paraId="5CD78453" w14:textId="77777777" w:rsidR="004F5276" w:rsidRPr="00736D38" w:rsidRDefault="004F5276" w:rsidP="00736D38">
            <w:pPr>
              <w:widowControl w:val="0"/>
              <w:pBdr>
                <w:top w:val="nil"/>
                <w:left w:val="nil"/>
                <w:bottom w:val="nil"/>
                <w:right w:val="nil"/>
                <w:between w:val="nil"/>
              </w:pBdr>
              <w:rPr>
                <w:rFonts w:ascii="Calibri" w:eastAsia="Calibri" w:hAnsi="Calibri" w:cs="Calibri"/>
                <w:sz w:val="22"/>
                <w:szCs w:val="22"/>
              </w:rPr>
            </w:pPr>
          </w:p>
        </w:tc>
      </w:tr>
      <w:tr w:rsidR="004F5276" w:rsidRPr="00736D38" w14:paraId="6B9C51B6" w14:textId="77777777" w:rsidTr="004F5276">
        <w:trPr>
          <w:trHeight w:val="450"/>
        </w:trPr>
        <w:tc>
          <w:tcPr>
            <w:tcW w:w="8400" w:type="dxa"/>
            <w:gridSpan w:val="4"/>
            <w:vMerge w:val="restart"/>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14:paraId="33027E04" w14:textId="77777777" w:rsidR="004F5276" w:rsidRPr="00736D38" w:rsidRDefault="004F5276" w:rsidP="00736D38">
            <w:pPr>
              <w:widowControl w:val="0"/>
              <w:rPr>
                <w:rFonts w:ascii="Calibri" w:eastAsia="Calibri" w:hAnsi="Calibri" w:cs="Calibri"/>
                <w:sz w:val="22"/>
                <w:szCs w:val="22"/>
              </w:rPr>
            </w:pPr>
            <w:r w:rsidRPr="00736D38">
              <w:rPr>
                <w:rFonts w:ascii="Calibri" w:eastAsia="Calibri" w:hAnsi="Calibri" w:cs="Calibri"/>
                <w:sz w:val="22"/>
                <w:szCs w:val="22"/>
              </w:rPr>
              <w:t xml:space="preserve">Hamilton = </w:t>
            </w:r>
            <w:hyperlink r:id="rId7">
              <w:r w:rsidRPr="00736D38">
                <w:rPr>
                  <w:rFonts w:ascii="Calibri" w:eastAsia="Calibri" w:hAnsi="Calibri" w:cs="Calibri"/>
                  <w:color w:val="1155CC"/>
                  <w:sz w:val="22"/>
                  <w:szCs w:val="22"/>
                  <w:u w:val="single"/>
                </w:rPr>
                <w:t>https://www.hamilton.ca/mapping-business-reporting/activity-reports/employment-area-inventory</w:t>
              </w:r>
            </w:hyperlink>
          </w:p>
          <w:p w14:paraId="01A91C60" w14:textId="77777777" w:rsidR="004F5276" w:rsidRPr="00736D38" w:rsidRDefault="004F5276" w:rsidP="00736D38">
            <w:pPr>
              <w:widowControl w:val="0"/>
              <w:rPr>
                <w:rFonts w:ascii="Calibri" w:eastAsia="Calibri" w:hAnsi="Calibri" w:cs="Calibri"/>
                <w:sz w:val="22"/>
                <w:szCs w:val="22"/>
              </w:rPr>
            </w:pPr>
            <w:r w:rsidRPr="00736D38">
              <w:rPr>
                <w:rFonts w:ascii="Calibri" w:eastAsia="Calibri" w:hAnsi="Calibri" w:cs="Calibri"/>
                <w:sz w:val="22"/>
                <w:szCs w:val="22"/>
              </w:rPr>
              <w:t xml:space="preserve">Simcoe= </w:t>
            </w:r>
            <w:hyperlink r:id="rId8">
              <w:r w:rsidRPr="00736D38">
                <w:rPr>
                  <w:rFonts w:ascii="Calibri" w:eastAsia="Calibri" w:hAnsi="Calibri" w:cs="Calibri"/>
                  <w:color w:val="1155CC"/>
                  <w:sz w:val="22"/>
                  <w:szCs w:val="22"/>
                  <w:u w:val="single"/>
                </w:rPr>
                <w:t>https://www.simcoe.ca/Planning/Documents/SimcoeCountyLandBudget_DataCollectionandAnalysis_PhaseEmployment_HemsonConsulting_June17.pdf</w:t>
              </w:r>
            </w:hyperlink>
            <w:r w:rsidRPr="00736D38">
              <w:rPr>
                <w:rFonts w:ascii="Calibri" w:eastAsia="Calibri" w:hAnsi="Calibri" w:cs="Calibri"/>
                <w:sz w:val="22"/>
                <w:szCs w:val="22"/>
              </w:rPr>
              <w:t xml:space="preserve"> </w:t>
            </w:r>
          </w:p>
          <w:p w14:paraId="4FB235D6" w14:textId="77777777" w:rsidR="004F5276" w:rsidRPr="00736D38" w:rsidRDefault="004F5276" w:rsidP="00736D38">
            <w:pPr>
              <w:widowControl w:val="0"/>
              <w:rPr>
                <w:sz w:val="22"/>
                <w:szCs w:val="22"/>
              </w:rPr>
            </w:pPr>
            <w:r w:rsidRPr="00736D38">
              <w:rPr>
                <w:rFonts w:ascii="Calibri" w:eastAsia="Calibri" w:hAnsi="Calibri" w:cs="Calibri"/>
                <w:sz w:val="22"/>
                <w:szCs w:val="22"/>
              </w:rPr>
              <w:t xml:space="preserve">Niagara = </w:t>
            </w:r>
            <w:hyperlink r:id="rId9">
              <w:r w:rsidRPr="00736D38">
                <w:rPr>
                  <w:rFonts w:ascii="Calibri" w:eastAsia="Calibri" w:hAnsi="Calibri" w:cs="Calibri"/>
                  <w:color w:val="1155CC"/>
                  <w:sz w:val="22"/>
                  <w:szCs w:val="22"/>
                  <w:u w:val="single"/>
                </w:rPr>
                <w:t xml:space="preserve">https://niagararegion.ca/council/Council%20Documents/ICP%208-2014.pdf </w:t>
              </w:r>
            </w:hyperlink>
          </w:p>
          <w:p w14:paraId="02C83DF8" w14:textId="77777777" w:rsidR="004F5276" w:rsidRPr="00736D38" w:rsidRDefault="004F5276" w:rsidP="00736D38">
            <w:pPr>
              <w:widowControl w:val="0"/>
              <w:rPr>
                <w:rFonts w:ascii="Calibri" w:eastAsia="Calibri" w:hAnsi="Calibri" w:cs="Calibri"/>
                <w:sz w:val="22"/>
                <w:szCs w:val="22"/>
              </w:rPr>
            </w:pPr>
          </w:p>
          <w:p w14:paraId="56FE0F43" w14:textId="77777777" w:rsidR="004F5276" w:rsidRPr="00736D38" w:rsidRDefault="004F5276" w:rsidP="00736D38">
            <w:pPr>
              <w:widowControl w:val="0"/>
              <w:rPr>
                <w:rFonts w:ascii="Calibri" w:eastAsia="Calibri" w:hAnsi="Calibri" w:cs="Calibri"/>
                <w:sz w:val="22"/>
                <w:szCs w:val="22"/>
              </w:rPr>
            </w:pPr>
            <w:r w:rsidRPr="00736D38">
              <w:rPr>
                <w:rFonts w:ascii="Calibri" w:eastAsia="Calibri" w:hAnsi="Calibri" w:cs="Calibri"/>
                <w:sz w:val="22"/>
                <w:szCs w:val="22"/>
              </w:rPr>
              <w:t>*Indicates total employment land measured on Neptis Geoweb</w:t>
            </w:r>
          </w:p>
        </w:tc>
      </w:tr>
      <w:tr w:rsidR="004F5276" w:rsidRPr="00736D38" w14:paraId="42A23C45" w14:textId="77777777" w:rsidTr="004F5276">
        <w:trPr>
          <w:trHeight w:val="450"/>
        </w:trPr>
        <w:tc>
          <w:tcPr>
            <w:tcW w:w="8400" w:type="dxa"/>
            <w:gridSpan w:val="4"/>
            <w:vMerge/>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14:paraId="66F791D3" w14:textId="77777777" w:rsidR="004F5276" w:rsidRPr="00736D38" w:rsidRDefault="004F5276" w:rsidP="00736D38">
            <w:pPr>
              <w:widowControl w:val="0"/>
              <w:pBdr>
                <w:top w:val="nil"/>
                <w:left w:val="nil"/>
                <w:bottom w:val="nil"/>
                <w:right w:val="nil"/>
                <w:between w:val="nil"/>
              </w:pBdr>
              <w:rPr>
                <w:rFonts w:ascii="Calibri" w:eastAsia="Calibri" w:hAnsi="Calibri" w:cs="Calibri"/>
                <w:sz w:val="22"/>
                <w:szCs w:val="22"/>
              </w:rPr>
            </w:pPr>
          </w:p>
        </w:tc>
      </w:tr>
      <w:tr w:rsidR="004F5276" w:rsidRPr="00736D38" w14:paraId="3F71C191" w14:textId="77777777" w:rsidTr="004F5276">
        <w:trPr>
          <w:trHeight w:val="450"/>
        </w:trPr>
        <w:tc>
          <w:tcPr>
            <w:tcW w:w="8400" w:type="dxa"/>
            <w:gridSpan w:val="4"/>
            <w:vMerge/>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14:paraId="64EEFD21" w14:textId="77777777" w:rsidR="004F5276" w:rsidRPr="00736D38" w:rsidRDefault="004F5276" w:rsidP="00736D38">
            <w:pPr>
              <w:widowControl w:val="0"/>
              <w:pBdr>
                <w:top w:val="nil"/>
                <w:left w:val="nil"/>
                <w:bottom w:val="nil"/>
                <w:right w:val="nil"/>
                <w:between w:val="nil"/>
              </w:pBdr>
              <w:rPr>
                <w:rFonts w:ascii="Calibri" w:eastAsia="Calibri" w:hAnsi="Calibri" w:cs="Calibri"/>
                <w:sz w:val="22"/>
                <w:szCs w:val="22"/>
              </w:rPr>
            </w:pPr>
          </w:p>
        </w:tc>
      </w:tr>
    </w:tbl>
    <w:p w14:paraId="0A1BA4B5" w14:textId="77777777" w:rsidR="004F5276" w:rsidRPr="00736D38" w:rsidRDefault="004F5276" w:rsidP="00736D38">
      <w:pPr>
        <w:ind w:left="-360"/>
        <w:rPr>
          <w:rFonts w:ascii="Verdana" w:eastAsia="Verdana" w:hAnsi="Verdana" w:cs="Verdana"/>
          <w:sz w:val="22"/>
          <w:szCs w:val="22"/>
        </w:rPr>
      </w:pPr>
    </w:p>
    <w:p w14:paraId="618A5CBD" w14:textId="77777777" w:rsidR="004F5276" w:rsidRPr="00736D38" w:rsidRDefault="004F5276" w:rsidP="00736D38">
      <w:pPr>
        <w:ind w:left="-360"/>
        <w:rPr>
          <w:rFonts w:ascii="Verdana" w:eastAsia="Verdana" w:hAnsi="Verdana" w:cs="Verdana"/>
          <w:sz w:val="22"/>
          <w:szCs w:val="22"/>
        </w:rPr>
      </w:pPr>
    </w:p>
    <w:p w14:paraId="1414A637" w14:textId="77777777" w:rsidR="004F5276" w:rsidRPr="00736D38" w:rsidRDefault="004F5276" w:rsidP="00736D38">
      <w:pPr>
        <w:rPr>
          <w:rFonts w:ascii="Verdana" w:eastAsia="Verdana" w:hAnsi="Verdana" w:cs="Verdana"/>
          <w:sz w:val="22"/>
          <w:szCs w:val="22"/>
        </w:rPr>
      </w:pPr>
      <w:r w:rsidRPr="00736D38">
        <w:rPr>
          <w:rFonts w:ascii="Verdana" w:eastAsia="Verdana" w:hAnsi="Verdana" w:cs="Verdana"/>
          <w:sz w:val="22"/>
          <w:szCs w:val="22"/>
        </w:rPr>
        <w:t>Peel Region had an excess of employment land as evidenced through the recent plan review (MCR process) which converted three employment land areas in Mississauga and 13 in Brampton to residential.</w:t>
      </w:r>
      <w:r w:rsidRPr="00736D38">
        <w:rPr>
          <w:rFonts w:ascii="Verdana" w:eastAsia="Verdana" w:hAnsi="Verdana" w:cs="Verdana"/>
          <w:sz w:val="22"/>
          <w:szCs w:val="22"/>
          <w:vertAlign w:val="superscript"/>
        </w:rPr>
        <w:endnoteRef/>
      </w:r>
      <w:r w:rsidRPr="00736D38">
        <w:rPr>
          <w:rFonts w:ascii="Verdana" w:eastAsia="Verdana" w:hAnsi="Verdana" w:cs="Verdana"/>
          <w:sz w:val="22"/>
          <w:szCs w:val="22"/>
        </w:rPr>
        <w:t xml:space="preserve"> Experience indicates if too much employment land is designated it puts pressure on municipalities to convert those lands to residential. </w:t>
      </w:r>
    </w:p>
    <w:p w14:paraId="77394081" w14:textId="77777777" w:rsidR="004F5276" w:rsidRPr="00736D38" w:rsidRDefault="004F5276" w:rsidP="00736D38">
      <w:pPr>
        <w:spacing w:before="280" w:after="280"/>
        <w:rPr>
          <w:rFonts w:ascii="Verdana" w:eastAsia="Verdana" w:hAnsi="Verdana" w:cs="Verdana"/>
          <w:sz w:val="22"/>
          <w:szCs w:val="22"/>
        </w:rPr>
      </w:pPr>
      <w:r w:rsidRPr="00736D38">
        <w:rPr>
          <w:rFonts w:ascii="Verdana" w:eastAsia="Verdana" w:hAnsi="Verdana" w:cs="Verdana"/>
          <w:sz w:val="22"/>
          <w:szCs w:val="22"/>
        </w:rPr>
        <w:t xml:space="preserve">Some municipalities such as York Region (which has 2588 ha of vacant employment land), have identified surplus lands for new employment uses but it is important that these excess lands not be automatically converted to residential uses. Typically these same communities with excess employment lands also have an excess of residential lands. A land needs assessment, as part of a Municipal Comprehensive Review, allows municipalities to identify and allocate the appropriate quantity of lands based on projected needs. It is essential that municipalities use the data obtained through a land needs assessment to understand whether there is a need to expand settlement boundaries. </w:t>
      </w:r>
    </w:p>
    <w:p w14:paraId="6A6C7B5D" w14:textId="77777777" w:rsidR="004F5276" w:rsidRPr="00736D38" w:rsidRDefault="004F5276" w:rsidP="00736D38">
      <w:pPr>
        <w:spacing w:before="280" w:after="280"/>
        <w:rPr>
          <w:rFonts w:ascii="Verdana" w:eastAsia="Verdana" w:hAnsi="Verdana" w:cs="Verdana"/>
          <w:sz w:val="22"/>
          <w:szCs w:val="22"/>
        </w:rPr>
      </w:pPr>
      <w:r w:rsidRPr="00736D38">
        <w:rPr>
          <w:rFonts w:ascii="Verdana" w:eastAsia="Verdana" w:hAnsi="Verdana" w:cs="Verdana"/>
          <w:sz w:val="22"/>
          <w:szCs w:val="22"/>
        </w:rPr>
        <w:t xml:space="preserve">In cities like Kitchener and Hamilton where factories have shut down there may be an excess of serviced employment land in the inner city near existing and proposed transit lines where conversion to mixed use residential and live work spaces may be appropriate. </w:t>
      </w:r>
    </w:p>
    <w:p w14:paraId="5EC58B34" w14:textId="77777777" w:rsidR="004F5276" w:rsidRPr="00736D38" w:rsidRDefault="004F5276" w:rsidP="00736D38">
      <w:pPr>
        <w:spacing w:before="280" w:after="280"/>
        <w:rPr>
          <w:rFonts w:ascii="Verdana" w:eastAsia="Verdana" w:hAnsi="Verdana" w:cs="Verdana"/>
          <w:sz w:val="22"/>
          <w:szCs w:val="22"/>
        </w:rPr>
      </w:pPr>
      <w:r w:rsidRPr="00736D38">
        <w:rPr>
          <w:rFonts w:ascii="Verdana" w:eastAsia="Verdana" w:hAnsi="Verdana" w:cs="Verdana"/>
          <w:sz w:val="22"/>
          <w:szCs w:val="22"/>
        </w:rPr>
        <w:t xml:space="preserve">In some newer greenfield communities developers own unserviced employment lands they want to build subdivisions on. Conversion of greenfield employment lands to housing requires extension of expensive infrastructure which will be costly, take time and not address immediate housing needs.  In the Bradford area, farmland costs $50,000 an acre, whereas development land is $400,000 an acre. There is a $350,000 incentive per acre to allow conversion of farmland for development.   </w:t>
      </w:r>
    </w:p>
    <w:p w14:paraId="5B7A43B9" w14:textId="77777777" w:rsidR="004F5276" w:rsidRPr="00736D38" w:rsidRDefault="004F5276" w:rsidP="00736D38">
      <w:pPr>
        <w:spacing w:before="280" w:after="280"/>
        <w:rPr>
          <w:rFonts w:ascii="Verdana" w:eastAsia="Verdana" w:hAnsi="Verdana" w:cs="Verdana"/>
        </w:rPr>
      </w:pPr>
      <w:r w:rsidRPr="00736D38">
        <w:rPr>
          <w:rFonts w:ascii="Verdana" w:eastAsia="Verdana" w:hAnsi="Verdana" w:cs="Verdana"/>
          <w:sz w:val="22"/>
          <w:szCs w:val="22"/>
        </w:rPr>
        <w:t>Converting employment land to housing and then opening up settlement area boundaries for employment uses will result in farmland loss. There is no need to open up the countryside to employment uses. Municipalities should use the surplus employment lands in towns and cities across the region for future job growth</w:t>
      </w:r>
      <w:r w:rsidRPr="00736D38">
        <w:rPr>
          <w:rFonts w:ascii="Verdana" w:eastAsia="Verdana" w:hAnsi="Verdana" w:cs="Verdana"/>
        </w:rPr>
        <w:t xml:space="preserve">. </w:t>
      </w:r>
    </w:p>
    <w:p w14:paraId="7C84F761" w14:textId="77777777" w:rsidR="004F5276" w:rsidRPr="00736D38" w:rsidRDefault="004F5276" w:rsidP="00736D38">
      <w:pPr>
        <w:rPr>
          <w:rFonts w:ascii="Verdana" w:hAnsi="Verdana"/>
          <w:sz w:val="22"/>
          <w:szCs w:val="22"/>
        </w:rPr>
      </w:pPr>
      <w:r w:rsidRPr="00736D38">
        <w:rPr>
          <w:rFonts w:ascii="Verdana" w:hAnsi="Verdana"/>
          <w:b/>
          <w:sz w:val="22"/>
          <w:szCs w:val="22"/>
        </w:rPr>
        <w:t xml:space="preserve">Recommendation: </w:t>
      </w:r>
      <w:r w:rsidRPr="00736D38">
        <w:rPr>
          <w:rFonts w:ascii="Verdana" w:hAnsi="Verdana"/>
          <w:sz w:val="22"/>
          <w:szCs w:val="22"/>
        </w:rPr>
        <w:t xml:space="preserve">Employment area conversions would be appropriate if: </w:t>
      </w:r>
    </w:p>
    <w:p w14:paraId="14134904" w14:textId="77777777" w:rsidR="004F5276" w:rsidRPr="00736D38" w:rsidRDefault="004F5276" w:rsidP="00736D38">
      <w:pPr>
        <w:rPr>
          <w:rFonts w:ascii="Verdana" w:hAnsi="Verdana"/>
          <w:sz w:val="22"/>
          <w:szCs w:val="22"/>
        </w:rPr>
      </w:pPr>
    </w:p>
    <w:p w14:paraId="42E4CCD5" w14:textId="77777777" w:rsidR="004F5276" w:rsidRPr="00736D38" w:rsidRDefault="004F5276" w:rsidP="00736D38">
      <w:pPr>
        <w:spacing w:before="120" w:after="120"/>
        <w:ind w:left="567"/>
        <w:rPr>
          <w:rFonts w:ascii="Verdana" w:eastAsia="Calibri" w:hAnsi="Verdana"/>
          <w:sz w:val="22"/>
          <w:szCs w:val="22"/>
          <w:lang w:eastAsia="en-US"/>
        </w:rPr>
      </w:pPr>
      <w:r w:rsidRPr="00736D38">
        <w:rPr>
          <w:rFonts w:ascii="Verdana" w:eastAsia="Calibri" w:hAnsi="Verdana"/>
          <w:b/>
          <w:sz w:val="22"/>
          <w:szCs w:val="22"/>
          <w:lang w:eastAsia="en-US"/>
        </w:rPr>
        <w:t>a)</w:t>
      </w:r>
      <w:r w:rsidRPr="00736D38">
        <w:rPr>
          <w:rFonts w:ascii="Verdana" w:eastAsia="Calibri" w:hAnsi="Verdana"/>
          <w:sz w:val="22"/>
          <w:szCs w:val="22"/>
          <w:lang w:eastAsia="en-US"/>
        </w:rPr>
        <w:t xml:space="preserve"> if the proposed land designation conversion supports the objectives of the Growth Plan, in particular, the density targets for residents/jobs per ha. and the creation of complete communities that are mixed-use and transit-supportive.</w:t>
      </w:r>
    </w:p>
    <w:p w14:paraId="5E92F1ED" w14:textId="77777777" w:rsidR="004F5276" w:rsidRPr="00736D38" w:rsidRDefault="004F5276" w:rsidP="00736D38">
      <w:pPr>
        <w:spacing w:before="120" w:after="120"/>
        <w:ind w:left="567"/>
        <w:rPr>
          <w:rFonts w:ascii="Verdana" w:hAnsi="Verdana"/>
          <w:sz w:val="22"/>
          <w:szCs w:val="22"/>
        </w:rPr>
      </w:pPr>
      <w:r w:rsidRPr="00736D38">
        <w:rPr>
          <w:rFonts w:ascii="Verdana" w:hAnsi="Verdana"/>
          <w:b/>
          <w:sz w:val="22"/>
          <w:szCs w:val="22"/>
        </w:rPr>
        <w:t>b)</w:t>
      </w:r>
      <w:r w:rsidRPr="00736D38">
        <w:rPr>
          <w:rFonts w:ascii="Verdana" w:hAnsi="Verdana"/>
          <w:sz w:val="22"/>
          <w:szCs w:val="22"/>
        </w:rPr>
        <w:t xml:space="preserve"> if the changes are evidence-based, and a regional employment lands strategy has been completed. </w:t>
      </w:r>
    </w:p>
    <w:p w14:paraId="4657F62D" w14:textId="77777777" w:rsidR="004F5276" w:rsidRPr="00736D38" w:rsidRDefault="004F5276" w:rsidP="00736D38">
      <w:pPr>
        <w:ind w:left="720"/>
        <w:contextualSpacing/>
        <w:rPr>
          <w:rFonts w:ascii="Verdana" w:eastAsia="Calibri" w:hAnsi="Verdana"/>
          <w:sz w:val="22"/>
          <w:szCs w:val="22"/>
          <w:lang w:eastAsia="en-US"/>
        </w:rPr>
      </w:pPr>
    </w:p>
    <w:p w14:paraId="378BF776" w14:textId="77777777" w:rsidR="004F5276" w:rsidRPr="00736D38" w:rsidRDefault="004F5276" w:rsidP="00736D38">
      <w:pPr>
        <w:rPr>
          <w:rFonts w:ascii="Verdana" w:hAnsi="Verdana"/>
          <w:sz w:val="22"/>
          <w:szCs w:val="22"/>
        </w:rPr>
      </w:pPr>
    </w:p>
    <w:p w14:paraId="0FA13EEA" w14:textId="77777777" w:rsidR="004F5276" w:rsidRPr="00736D38" w:rsidRDefault="004F5276" w:rsidP="00736D38">
      <w:pPr>
        <w:rPr>
          <w:rFonts w:ascii="Verdana" w:hAnsi="Verdana"/>
          <w:sz w:val="22"/>
          <w:szCs w:val="22"/>
        </w:rPr>
      </w:pPr>
    </w:p>
    <w:p w14:paraId="37F750B4" w14:textId="77777777" w:rsidR="004F5276" w:rsidRDefault="004F5276">
      <w:pPr>
        <w:pStyle w:val="EndnoteText"/>
        <w:rPr>
          <w:rFonts w:ascii="Verdana" w:hAnsi="Verdana"/>
          <w:sz w:val="22"/>
          <w:szCs w:val="22"/>
        </w:rPr>
      </w:pPr>
    </w:p>
    <w:p w14:paraId="25DFDDFD" w14:textId="77777777" w:rsidR="004F5276" w:rsidRDefault="004F5276">
      <w:pPr>
        <w:pStyle w:val="EndnoteText"/>
        <w:rPr>
          <w:rFonts w:ascii="Verdana" w:hAnsi="Verdana"/>
          <w:sz w:val="22"/>
          <w:szCs w:val="22"/>
        </w:rPr>
      </w:pPr>
    </w:p>
    <w:p w14:paraId="5E1AF0F3" w14:textId="77777777" w:rsidR="00410D65" w:rsidRDefault="00410D65">
      <w:pPr>
        <w:pStyle w:val="EndnoteText"/>
        <w:rPr>
          <w:rFonts w:ascii="Verdana" w:hAnsi="Verdana"/>
          <w:b/>
          <w:sz w:val="22"/>
          <w:szCs w:val="22"/>
        </w:rPr>
      </w:pPr>
    </w:p>
    <w:p w14:paraId="22A4B1BA" w14:textId="77777777" w:rsidR="00410D65" w:rsidRDefault="00410D65">
      <w:pPr>
        <w:pStyle w:val="EndnoteText"/>
        <w:rPr>
          <w:rFonts w:ascii="Verdana" w:hAnsi="Verdana"/>
          <w:b/>
          <w:sz w:val="22"/>
          <w:szCs w:val="22"/>
        </w:rPr>
      </w:pPr>
    </w:p>
    <w:p w14:paraId="5B31D4A5" w14:textId="77777777" w:rsidR="00410D65" w:rsidRDefault="00410D65">
      <w:pPr>
        <w:pStyle w:val="EndnoteText"/>
        <w:rPr>
          <w:rFonts w:ascii="Verdana" w:hAnsi="Verdana"/>
          <w:b/>
          <w:sz w:val="22"/>
          <w:szCs w:val="22"/>
        </w:rPr>
      </w:pPr>
    </w:p>
    <w:p w14:paraId="1ECD3CB9" w14:textId="77777777" w:rsidR="00410D65" w:rsidRDefault="00410D65">
      <w:pPr>
        <w:pStyle w:val="EndnoteText"/>
        <w:rPr>
          <w:rFonts w:ascii="Verdana" w:hAnsi="Verdana"/>
          <w:b/>
          <w:sz w:val="22"/>
          <w:szCs w:val="22"/>
        </w:rPr>
      </w:pPr>
    </w:p>
    <w:p w14:paraId="72C9D22C" w14:textId="77777777" w:rsidR="00410D65" w:rsidRDefault="00410D65">
      <w:pPr>
        <w:pStyle w:val="EndnoteText"/>
        <w:rPr>
          <w:rFonts w:ascii="Verdana" w:hAnsi="Verdana"/>
          <w:b/>
          <w:sz w:val="22"/>
          <w:szCs w:val="22"/>
        </w:rPr>
      </w:pPr>
    </w:p>
    <w:p w14:paraId="272869DC" w14:textId="77777777" w:rsidR="00410D65" w:rsidRDefault="00410D65">
      <w:pPr>
        <w:pStyle w:val="EndnoteText"/>
        <w:rPr>
          <w:rFonts w:ascii="Verdana" w:hAnsi="Verdana"/>
          <w:b/>
          <w:sz w:val="22"/>
          <w:szCs w:val="22"/>
        </w:rPr>
      </w:pPr>
    </w:p>
    <w:p w14:paraId="3156DC8F" w14:textId="77777777" w:rsidR="00410D65" w:rsidRDefault="00410D65">
      <w:pPr>
        <w:pStyle w:val="EndnoteText"/>
        <w:rPr>
          <w:rFonts w:ascii="Verdana" w:hAnsi="Verdana"/>
          <w:b/>
          <w:sz w:val="22"/>
          <w:szCs w:val="22"/>
        </w:rPr>
      </w:pPr>
    </w:p>
    <w:p w14:paraId="0CB3D5FC" w14:textId="77777777" w:rsidR="00410D65" w:rsidRDefault="00410D65">
      <w:pPr>
        <w:pStyle w:val="EndnoteText"/>
        <w:rPr>
          <w:rFonts w:ascii="Verdana" w:hAnsi="Verdana"/>
          <w:b/>
          <w:sz w:val="22"/>
          <w:szCs w:val="22"/>
        </w:rPr>
      </w:pPr>
    </w:p>
    <w:p w14:paraId="21B6F8E8" w14:textId="77777777" w:rsidR="00410D65" w:rsidRDefault="00410D65">
      <w:pPr>
        <w:pStyle w:val="EndnoteText"/>
        <w:rPr>
          <w:rFonts w:ascii="Verdana" w:hAnsi="Verdana"/>
          <w:b/>
          <w:sz w:val="22"/>
          <w:szCs w:val="22"/>
        </w:rPr>
      </w:pPr>
    </w:p>
    <w:p w14:paraId="1FBE3587" w14:textId="77777777" w:rsidR="00410D65" w:rsidRDefault="00410D65">
      <w:pPr>
        <w:pStyle w:val="EndnoteText"/>
        <w:rPr>
          <w:rFonts w:ascii="Verdana" w:hAnsi="Verdana"/>
          <w:b/>
          <w:sz w:val="22"/>
          <w:szCs w:val="22"/>
        </w:rPr>
      </w:pPr>
    </w:p>
    <w:p w14:paraId="3E3A0F1C" w14:textId="77777777" w:rsidR="00410D65" w:rsidRDefault="00410D65">
      <w:pPr>
        <w:pStyle w:val="EndnoteText"/>
        <w:rPr>
          <w:rFonts w:ascii="Verdana" w:hAnsi="Verdana"/>
          <w:b/>
          <w:sz w:val="22"/>
          <w:szCs w:val="22"/>
        </w:rPr>
      </w:pPr>
    </w:p>
    <w:p w14:paraId="60567747" w14:textId="77777777" w:rsidR="00410D65" w:rsidRDefault="00410D65">
      <w:pPr>
        <w:pStyle w:val="EndnoteText"/>
        <w:rPr>
          <w:rFonts w:ascii="Verdana" w:hAnsi="Verdana"/>
          <w:b/>
          <w:sz w:val="22"/>
          <w:szCs w:val="22"/>
        </w:rPr>
      </w:pPr>
    </w:p>
    <w:p w14:paraId="37077654" w14:textId="77777777" w:rsidR="00410D65" w:rsidRDefault="00410D65">
      <w:pPr>
        <w:pStyle w:val="EndnoteText"/>
        <w:rPr>
          <w:rFonts w:ascii="Verdana" w:hAnsi="Verdana"/>
          <w:b/>
          <w:sz w:val="22"/>
          <w:szCs w:val="22"/>
        </w:rPr>
      </w:pPr>
    </w:p>
    <w:p w14:paraId="78EC6202" w14:textId="77777777" w:rsidR="00410D65" w:rsidRDefault="00410D65">
      <w:pPr>
        <w:pStyle w:val="EndnoteText"/>
        <w:rPr>
          <w:rFonts w:ascii="Verdana" w:hAnsi="Verdana"/>
          <w:b/>
          <w:sz w:val="22"/>
          <w:szCs w:val="22"/>
        </w:rPr>
      </w:pPr>
    </w:p>
    <w:p w14:paraId="785D76F4" w14:textId="77777777" w:rsidR="00410D65" w:rsidRDefault="00410D65">
      <w:pPr>
        <w:pStyle w:val="EndnoteText"/>
        <w:rPr>
          <w:rFonts w:ascii="Verdana" w:hAnsi="Verdana"/>
          <w:b/>
          <w:sz w:val="22"/>
          <w:szCs w:val="22"/>
        </w:rPr>
      </w:pPr>
    </w:p>
    <w:p w14:paraId="5F3FB1FB" w14:textId="77777777" w:rsidR="00410D65" w:rsidRDefault="00410D65">
      <w:pPr>
        <w:pStyle w:val="EndnoteText"/>
        <w:rPr>
          <w:rFonts w:ascii="Verdana" w:hAnsi="Verdana"/>
          <w:b/>
          <w:sz w:val="22"/>
          <w:szCs w:val="22"/>
        </w:rPr>
      </w:pPr>
    </w:p>
    <w:p w14:paraId="5A0EF114" w14:textId="77777777" w:rsidR="00410D65" w:rsidRDefault="00410D65">
      <w:pPr>
        <w:pStyle w:val="EndnoteText"/>
        <w:rPr>
          <w:rFonts w:ascii="Verdana" w:hAnsi="Verdana"/>
          <w:b/>
          <w:sz w:val="22"/>
          <w:szCs w:val="22"/>
        </w:rPr>
      </w:pPr>
    </w:p>
    <w:p w14:paraId="5B0399B0" w14:textId="77777777" w:rsidR="00410D65" w:rsidRDefault="00410D65">
      <w:pPr>
        <w:pStyle w:val="EndnoteText"/>
        <w:rPr>
          <w:rFonts w:ascii="Verdana" w:hAnsi="Verdana"/>
          <w:b/>
          <w:sz w:val="22"/>
          <w:szCs w:val="22"/>
        </w:rPr>
      </w:pPr>
    </w:p>
    <w:p w14:paraId="1348F032" w14:textId="77777777" w:rsidR="00410D65" w:rsidRDefault="00410D65">
      <w:pPr>
        <w:pStyle w:val="EndnoteText"/>
        <w:rPr>
          <w:rFonts w:ascii="Verdana" w:hAnsi="Verdana"/>
          <w:b/>
          <w:sz w:val="22"/>
          <w:szCs w:val="22"/>
        </w:rPr>
      </w:pPr>
    </w:p>
    <w:p w14:paraId="7FE1EEFA" w14:textId="77777777" w:rsidR="00410D65" w:rsidRDefault="00410D65">
      <w:pPr>
        <w:pStyle w:val="EndnoteText"/>
        <w:rPr>
          <w:rFonts w:ascii="Verdana" w:hAnsi="Verdana"/>
          <w:b/>
          <w:sz w:val="22"/>
          <w:szCs w:val="22"/>
        </w:rPr>
      </w:pPr>
    </w:p>
    <w:p w14:paraId="410FD1F6" w14:textId="1CB4023A" w:rsidR="00410D65" w:rsidRDefault="00CA2AB0">
      <w:pPr>
        <w:pStyle w:val="EndnoteText"/>
        <w:rPr>
          <w:rFonts w:ascii="Verdana" w:hAnsi="Verdana"/>
          <w:b/>
          <w:sz w:val="22"/>
          <w:szCs w:val="22"/>
        </w:rPr>
      </w:pPr>
      <w:r w:rsidRPr="00CA2AB0">
        <w:rPr>
          <w:rFonts w:ascii="Verdana" w:hAnsi="Verdana"/>
          <w:b/>
          <w:sz w:val="22"/>
          <w:szCs w:val="22"/>
          <w:highlight w:val="yellow"/>
        </w:rPr>
        <w:t>TO BE ADDED</w:t>
      </w:r>
      <w:r w:rsidR="00180005" w:rsidRPr="00180005">
        <w:rPr>
          <w:rFonts w:ascii="Verdana" w:hAnsi="Verdana"/>
          <w:b/>
          <w:sz w:val="22"/>
          <w:szCs w:val="22"/>
          <w:highlight w:val="yellow"/>
        </w:rPr>
        <w:t xml:space="preserve">- Planning analysis that identifies due to </w:t>
      </w:r>
      <w:proofErr w:type="spellStart"/>
      <w:r w:rsidR="00180005" w:rsidRPr="00180005">
        <w:rPr>
          <w:rFonts w:ascii="Verdana" w:hAnsi="Verdana"/>
          <w:b/>
          <w:sz w:val="22"/>
          <w:szCs w:val="22"/>
          <w:highlight w:val="yellow"/>
        </w:rPr>
        <w:t>takeouts</w:t>
      </w:r>
      <w:proofErr w:type="spellEnd"/>
      <w:r w:rsidR="00180005" w:rsidRPr="00180005">
        <w:rPr>
          <w:rFonts w:ascii="Verdana" w:hAnsi="Verdana"/>
          <w:b/>
          <w:sz w:val="22"/>
          <w:szCs w:val="22"/>
          <w:highlight w:val="yellow"/>
        </w:rPr>
        <w:t xml:space="preserve"> densities are even lower in the new Growth Plan</w:t>
      </w:r>
    </w:p>
    <w:p w14:paraId="1853E929" w14:textId="7F42DA94" w:rsidR="004F5276" w:rsidRDefault="004F5276">
      <w:pPr>
        <w:pStyle w:val="EndnoteText"/>
        <w:rPr>
          <w:rFonts w:ascii="Verdana" w:hAnsi="Verdana"/>
          <w:sz w:val="22"/>
          <w:szCs w:val="22"/>
        </w:rPr>
      </w:pPr>
      <w:r w:rsidRPr="00736D38">
        <w:rPr>
          <w:rFonts w:ascii="Verdana" w:hAnsi="Verdana"/>
          <w:b/>
          <w:sz w:val="22"/>
          <w:szCs w:val="22"/>
        </w:rPr>
        <w:t xml:space="preserve">Appendix 2- Envisioning Brant Analysis for Langford Conservancy- Kevin </w:t>
      </w:r>
      <w:proofErr w:type="spellStart"/>
      <w:r w:rsidRPr="00736D38">
        <w:rPr>
          <w:rFonts w:ascii="Verdana" w:hAnsi="Verdana"/>
          <w:b/>
          <w:sz w:val="22"/>
          <w:szCs w:val="22"/>
        </w:rPr>
        <w:t>Eb</w:t>
      </w:r>
      <w:r w:rsidR="00CA2AB0">
        <w:rPr>
          <w:rFonts w:ascii="Verdana" w:hAnsi="Verdana"/>
          <w:b/>
          <w:sz w:val="22"/>
          <w:szCs w:val="22"/>
        </w:rPr>
        <w:t>y</w:t>
      </w:r>
      <w:proofErr w:type="spellEnd"/>
    </w:p>
    <w:p w14:paraId="662490DA" w14:textId="77777777" w:rsidR="004F5276" w:rsidRDefault="004F5276">
      <w:pPr>
        <w:pStyle w:val="EndnoteText"/>
        <w:rPr>
          <w:rFonts w:ascii="Verdana" w:hAnsi="Verdana"/>
          <w:sz w:val="22"/>
          <w:szCs w:val="22"/>
        </w:rPr>
      </w:pPr>
    </w:p>
    <w:p w14:paraId="23D5D590" w14:textId="77777777" w:rsidR="004F5276" w:rsidRDefault="004F5276">
      <w:pPr>
        <w:pStyle w:val="EndnoteText"/>
        <w:rPr>
          <w:rFonts w:ascii="Verdana" w:hAnsi="Verdana"/>
          <w:sz w:val="22"/>
          <w:szCs w:val="22"/>
        </w:rPr>
      </w:pPr>
    </w:p>
    <w:p w14:paraId="4047BC80" w14:textId="77777777" w:rsidR="00410D65" w:rsidRPr="00410D65" w:rsidRDefault="00410D65" w:rsidP="00410D65">
      <w:pPr>
        <w:pStyle w:val="EndnoteText"/>
        <w:rPr>
          <w:rFonts w:ascii="Verdana" w:hAnsi="Verdana"/>
          <w:sz w:val="22"/>
          <w:szCs w:val="22"/>
        </w:rPr>
      </w:pPr>
      <w:r w:rsidRPr="00410D65">
        <w:rPr>
          <w:rFonts w:ascii="Verdana" w:hAnsi="Verdana"/>
          <w:sz w:val="22"/>
          <w:szCs w:val="22"/>
        </w:rPr>
        <w:t>Envisioning Brantford - Municipal Comprehensive Review Part 1: Employment Strategy, Intensification Strategy, Housing Strategy and Land Needs</w:t>
      </w:r>
    </w:p>
    <w:p w14:paraId="1B173F96" w14:textId="77777777" w:rsidR="00410D65" w:rsidRPr="00410D65" w:rsidRDefault="00410D65" w:rsidP="00410D65">
      <w:pPr>
        <w:pStyle w:val="EndnoteText"/>
        <w:rPr>
          <w:rFonts w:ascii="Verdana" w:hAnsi="Verdana"/>
          <w:sz w:val="22"/>
          <w:szCs w:val="22"/>
        </w:rPr>
      </w:pPr>
    </w:p>
    <w:p w14:paraId="65EF2319" w14:textId="5986B3CC" w:rsidR="00410D65" w:rsidRPr="00410D65" w:rsidRDefault="00410D65" w:rsidP="00410D65">
      <w:pPr>
        <w:pStyle w:val="EndnoteText"/>
        <w:rPr>
          <w:rFonts w:ascii="Verdana" w:hAnsi="Verdana"/>
          <w:sz w:val="22"/>
          <w:szCs w:val="22"/>
        </w:rPr>
      </w:pPr>
      <w:r w:rsidRPr="00410D65">
        <w:rPr>
          <w:rFonts w:ascii="Verdana" w:hAnsi="Verdana"/>
          <w:sz w:val="22"/>
          <w:szCs w:val="22"/>
        </w:rPr>
        <w:t>Review of the Conformity of the Recommended Alternative Density with Growth Plan for the Greater Golden Horseshoe Policy 2.2.7.6 (a)</w:t>
      </w:r>
    </w:p>
    <w:p w14:paraId="79A45B2C" w14:textId="77777777" w:rsidR="004F5276" w:rsidRDefault="004F5276">
      <w:pPr>
        <w:pStyle w:val="EndnoteText"/>
        <w:rPr>
          <w:rFonts w:ascii="Verdana" w:hAnsi="Verdana"/>
          <w:sz w:val="22"/>
          <w:szCs w:val="22"/>
        </w:rPr>
      </w:pPr>
    </w:p>
    <w:p w14:paraId="314A9E32" w14:textId="77777777" w:rsidR="004F5276" w:rsidRDefault="004F5276">
      <w:pPr>
        <w:pStyle w:val="EndnoteText"/>
        <w:rPr>
          <w:rFonts w:ascii="Verdana" w:hAnsi="Verdana"/>
          <w:sz w:val="22"/>
          <w:szCs w:val="22"/>
        </w:rPr>
      </w:pPr>
    </w:p>
    <w:p w14:paraId="16A3BDB5" w14:textId="77777777" w:rsidR="004F5276" w:rsidRDefault="004F5276">
      <w:pPr>
        <w:pStyle w:val="EndnoteText"/>
        <w:rPr>
          <w:rFonts w:ascii="Verdana" w:hAnsi="Verdana"/>
          <w:sz w:val="22"/>
          <w:szCs w:val="22"/>
        </w:rPr>
      </w:pPr>
    </w:p>
    <w:p w14:paraId="22B17E8E" w14:textId="77777777" w:rsidR="004F5276" w:rsidRDefault="004F5276">
      <w:pPr>
        <w:pStyle w:val="EndnoteText"/>
        <w:rPr>
          <w:rFonts w:ascii="Verdana" w:hAnsi="Verdana"/>
          <w:sz w:val="22"/>
          <w:szCs w:val="22"/>
        </w:rPr>
      </w:pPr>
    </w:p>
    <w:p w14:paraId="0E50D11A" w14:textId="77777777" w:rsidR="004F5276" w:rsidRDefault="004F5276">
      <w:pPr>
        <w:pStyle w:val="EndnoteText"/>
        <w:rPr>
          <w:rFonts w:ascii="Verdana" w:hAnsi="Verdana"/>
          <w:sz w:val="22"/>
          <w:szCs w:val="22"/>
        </w:rPr>
      </w:pPr>
    </w:p>
    <w:p w14:paraId="4D7278CF" w14:textId="77777777" w:rsidR="004F5276" w:rsidRDefault="004F5276">
      <w:pPr>
        <w:pStyle w:val="EndnoteText"/>
        <w:rPr>
          <w:rFonts w:ascii="Verdana" w:hAnsi="Verdana"/>
          <w:sz w:val="22"/>
          <w:szCs w:val="22"/>
        </w:rPr>
      </w:pPr>
    </w:p>
    <w:p w14:paraId="3B91770A" w14:textId="77777777" w:rsidR="004F5276" w:rsidRDefault="004F5276">
      <w:pPr>
        <w:pStyle w:val="EndnoteText"/>
        <w:rPr>
          <w:rFonts w:ascii="Verdana" w:hAnsi="Verdana"/>
          <w:sz w:val="22"/>
          <w:szCs w:val="22"/>
        </w:rPr>
      </w:pPr>
    </w:p>
    <w:p w14:paraId="56908C4E" w14:textId="77777777" w:rsidR="004F5276" w:rsidRDefault="004F5276">
      <w:pPr>
        <w:pStyle w:val="EndnoteText"/>
        <w:rPr>
          <w:rFonts w:ascii="Verdana" w:hAnsi="Verdana"/>
          <w:sz w:val="22"/>
          <w:szCs w:val="22"/>
        </w:rPr>
      </w:pPr>
    </w:p>
    <w:p w14:paraId="026365BB" w14:textId="77777777" w:rsidR="004F5276" w:rsidRDefault="004F5276">
      <w:pPr>
        <w:pStyle w:val="EndnoteText"/>
        <w:rPr>
          <w:rFonts w:ascii="Verdana" w:hAnsi="Verdana"/>
          <w:sz w:val="22"/>
          <w:szCs w:val="22"/>
        </w:rPr>
      </w:pPr>
    </w:p>
    <w:p w14:paraId="3A425ECC" w14:textId="77777777" w:rsidR="004F5276" w:rsidRDefault="004F5276">
      <w:pPr>
        <w:pStyle w:val="EndnoteText"/>
        <w:rPr>
          <w:rFonts w:ascii="Verdana" w:hAnsi="Verdana"/>
          <w:sz w:val="22"/>
          <w:szCs w:val="22"/>
        </w:rPr>
      </w:pPr>
    </w:p>
    <w:p w14:paraId="1F3B83DE" w14:textId="77777777" w:rsidR="004F5276" w:rsidRDefault="004F5276">
      <w:pPr>
        <w:pStyle w:val="EndnoteText"/>
        <w:rPr>
          <w:rFonts w:ascii="Verdana" w:hAnsi="Verdana"/>
          <w:sz w:val="22"/>
          <w:szCs w:val="22"/>
        </w:rPr>
      </w:pPr>
    </w:p>
    <w:p w14:paraId="493E9844" w14:textId="77777777" w:rsidR="004F5276" w:rsidRDefault="004F5276">
      <w:pPr>
        <w:pStyle w:val="EndnoteText"/>
        <w:rPr>
          <w:rFonts w:ascii="Verdana" w:hAnsi="Verdana"/>
          <w:sz w:val="22"/>
          <w:szCs w:val="22"/>
        </w:rPr>
      </w:pPr>
    </w:p>
    <w:p w14:paraId="01644086" w14:textId="77777777" w:rsidR="004F5276" w:rsidRDefault="004F5276">
      <w:pPr>
        <w:pStyle w:val="EndnoteText"/>
        <w:rPr>
          <w:rFonts w:ascii="Verdana" w:hAnsi="Verdana"/>
          <w:sz w:val="22"/>
          <w:szCs w:val="22"/>
        </w:rPr>
      </w:pPr>
    </w:p>
    <w:p w14:paraId="7E0C03A8" w14:textId="77777777" w:rsidR="004F5276" w:rsidRDefault="004F5276">
      <w:pPr>
        <w:pStyle w:val="EndnoteText"/>
        <w:rPr>
          <w:rFonts w:ascii="Verdana" w:hAnsi="Verdana"/>
          <w:sz w:val="22"/>
          <w:szCs w:val="22"/>
        </w:rPr>
      </w:pPr>
    </w:p>
    <w:p w14:paraId="2DF53FF7" w14:textId="77777777" w:rsidR="004F5276" w:rsidRDefault="004F5276">
      <w:pPr>
        <w:pStyle w:val="EndnoteText"/>
        <w:rPr>
          <w:rFonts w:ascii="Verdana" w:hAnsi="Verdana"/>
          <w:sz w:val="22"/>
          <w:szCs w:val="22"/>
        </w:rPr>
      </w:pPr>
    </w:p>
    <w:p w14:paraId="34A3B661" w14:textId="77777777" w:rsidR="004F5276" w:rsidRDefault="004F5276">
      <w:pPr>
        <w:pStyle w:val="EndnoteText"/>
        <w:rPr>
          <w:rFonts w:ascii="Verdana" w:hAnsi="Verdana"/>
          <w:sz w:val="22"/>
          <w:szCs w:val="22"/>
        </w:rPr>
      </w:pPr>
    </w:p>
    <w:p w14:paraId="0798844E" w14:textId="77777777" w:rsidR="004F5276" w:rsidRDefault="004F5276">
      <w:pPr>
        <w:pStyle w:val="EndnoteText"/>
        <w:rPr>
          <w:rFonts w:ascii="Verdana" w:hAnsi="Verdana"/>
          <w:sz w:val="22"/>
          <w:szCs w:val="22"/>
        </w:rPr>
      </w:pPr>
    </w:p>
    <w:p w14:paraId="01184861" w14:textId="77777777" w:rsidR="004F5276" w:rsidRDefault="004F5276">
      <w:pPr>
        <w:pStyle w:val="EndnoteText"/>
        <w:rPr>
          <w:rFonts w:ascii="Verdana" w:hAnsi="Verdana"/>
          <w:sz w:val="22"/>
          <w:szCs w:val="22"/>
        </w:rPr>
      </w:pPr>
    </w:p>
    <w:p w14:paraId="1B9D72E1" w14:textId="77777777" w:rsidR="004F5276" w:rsidRDefault="004F5276">
      <w:pPr>
        <w:pStyle w:val="EndnoteText"/>
        <w:rPr>
          <w:rFonts w:ascii="Verdana" w:hAnsi="Verdana"/>
          <w:sz w:val="22"/>
          <w:szCs w:val="22"/>
        </w:rPr>
      </w:pPr>
    </w:p>
    <w:p w14:paraId="024CD9B7" w14:textId="77777777" w:rsidR="004F5276" w:rsidRDefault="004F5276">
      <w:pPr>
        <w:pStyle w:val="EndnoteText"/>
        <w:rPr>
          <w:rFonts w:ascii="Verdana" w:hAnsi="Verdana"/>
          <w:sz w:val="22"/>
          <w:szCs w:val="22"/>
        </w:rPr>
      </w:pPr>
    </w:p>
    <w:p w14:paraId="5948F465" w14:textId="77777777" w:rsidR="004F5276" w:rsidRDefault="004F5276">
      <w:pPr>
        <w:pStyle w:val="EndnoteText"/>
        <w:rPr>
          <w:rFonts w:ascii="Verdana" w:hAnsi="Verdana"/>
          <w:sz w:val="22"/>
          <w:szCs w:val="22"/>
        </w:rPr>
      </w:pPr>
    </w:p>
    <w:p w14:paraId="5ED49DA5" w14:textId="77777777" w:rsidR="004F5276" w:rsidRDefault="004F5276">
      <w:pPr>
        <w:pStyle w:val="EndnoteText"/>
        <w:rPr>
          <w:rFonts w:ascii="Verdana" w:hAnsi="Verdana"/>
          <w:sz w:val="22"/>
          <w:szCs w:val="22"/>
        </w:rPr>
      </w:pPr>
    </w:p>
    <w:p w14:paraId="1DB0BF06" w14:textId="77777777" w:rsidR="004F5276" w:rsidRPr="00BF44F2" w:rsidRDefault="004F5276" w:rsidP="00104BA4">
      <w:pPr>
        <w:pStyle w:val="EndnoteText"/>
        <w:rPr>
          <w:rFonts w:ascii="Verdana" w:hAnsi="Verdana"/>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447613"/>
      <w:docPartObj>
        <w:docPartGallery w:val="Page Numbers (Bottom of Page)"/>
        <w:docPartUnique/>
      </w:docPartObj>
    </w:sdtPr>
    <w:sdtEndPr>
      <w:rPr>
        <w:noProof/>
      </w:rPr>
    </w:sdtEndPr>
    <w:sdtContent>
      <w:p w14:paraId="468275CA" w14:textId="5A22659E" w:rsidR="00410D65" w:rsidRDefault="00410D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494FAC" w14:textId="77777777" w:rsidR="00410D65" w:rsidRDefault="00410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6F1FD" w14:textId="77777777" w:rsidR="008F4D11" w:rsidRDefault="008F4D11">
      <w:r>
        <w:separator/>
      </w:r>
    </w:p>
  </w:footnote>
  <w:footnote w:type="continuationSeparator" w:id="0">
    <w:p w14:paraId="5BDE6306" w14:textId="77777777" w:rsidR="008F4D11" w:rsidRDefault="008F4D11">
      <w:r>
        <w:continuationSeparator/>
      </w:r>
    </w:p>
  </w:footnote>
  <w:footnote w:id="1">
    <w:p w14:paraId="2ACB65D0" w14:textId="77777777" w:rsidR="004F5276" w:rsidRPr="00D557A5" w:rsidRDefault="004F5276" w:rsidP="00D557A5">
      <w:pPr>
        <w:pStyle w:val="EndnoteText"/>
        <w:rPr>
          <w:rFonts w:asciiTheme="minorHAnsi" w:hAnsiTheme="minorHAnsi" w:cstheme="minorHAnsi"/>
          <w:sz w:val="18"/>
          <w:szCs w:val="18"/>
        </w:rPr>
      </w:pPr>
      <w:r>
        <w:rPr>
          <w:rStyle w:val="FootnoteReference"/>
        </w:rPr>
        <w:footnoteRef/>
      </w:r>
      <w:r>
        <w:t xml:space="preserve"> </w:t>
      </w:r>
      <w:hyperlink r:id="rId1" w:history="1">
        <w:r w:rsidRPr="00D557A5">
          <w:rPr>
            <w:rStyle w:val="Hyperlink"/>
            <w:rFonts w:asciiTheme="minorHAnsi" w:hAnsiTheme="minorHAnsi" w:cstheme="minorHAnsi"/>
            <w:sz w:val="18"/>
            <w:szCs w:val="18"/>
          </w:rPr>
          <w:t>https://www.york.ca/wps/wcm/connect/yorkpublic/88c32857-5865-466a-9b42-7a2b6749f9bb/may+18+housing+ex.pdf?MOD=AJPERES</w:t>
        </w:r>
      </w:hyperlink>
    </w:p>
    <w:p w14:paraId="580D9369" w14:textId="77777777" w:rsidR="004F5276" w:rsidRDefault="004F5276">
      <w:pPr>
        <w:pStyle w:val="FootnoteText"/>
      </w:pPr>
    </w:p>
  </w:footnote>
  <w:footnote w:id="2">
    <w:p w14:paraId="2543F58B" w14:textId="77777777" w:rsidR="00410D65" w:rsidRPr="00996FDD" w:rsidRDefault="00410D65" w:rsidP="00410D65">
      <w:pPr>
        <w:pStyle w:val="FootnoteText"/>
        <w:rPr>
          <w:rFonts w:asciiTheme="minorHAnsi" w:hAnsiTheme="minorHAnsi" w:cstheme="minorHAnsi"/>
          <w:sz w:val="18"/>
          <w:szCs w:val="18"/>
        </w:rPr>
      </w:pPr>
      <w:r>
        <w:rPr>
          <w:rStyle w:val="FootnoteReference"/>
        </w:rPr>
        <w:footnoteRef/>
      </w:r>
      <w:r>
        <w:t xml:space="preserve"> </w:t>
      </w:r>
      <w:hyperlink r:id="rId2" w:history="1">
        <w:r w:rsidRPr="00996FDD">
          <w:rPr>
            <w:rStyle w:val="Hyperlink"/>
            <w:rFonts w:asciiTheme="minorHAnsi" w:hAnsiTheme="minorHAnsi" w:cstheme="minorHAnsi"/>
            <w:sz w:val="18"/>
            <w:szCs w:val="18"/>
          </w:rPr>
          <w:t>https://www.citybuildinginstitute.ca/portfolio/missing-middle/</w:t>
        </w:r>
      </w:hyperlink>
    </w:p>
    <w:p w14:paraId="4309E228" w14:textId="491E9E01" w:rsidR="00410D65" w:rsidRDefault="00410D65">
      <w:pPr>
        <w:pStyle w:val="FootnoteText"/>
      </w:pPr>
    </w:p>
  </w:footnote>
  <w:footnote w:id="3">
    <w:p w14:paraId="1BDCFB7D" w14:textId="77777777" w:rsidR="004F5276" w:rsidRPr="00996FDD" w:rsidRDefault="004F5276" w:rsidP="00D557A5">
      <w:pPr>
        <w:pStyle w:val="FootnoteText"/>
        <w:rPr>
          <w:rFonts w:asciiTheme="minorHAnsi" w:hAnsiTheme="minorHAnsi" w:cstheme="minorHAnsi"/>
          <w:sz w:val="18"/>
          <w:szCs w:val="18"/>
        </w:rPr>
      </w:pPr>
      <w:r>
        <w:rPr>
          <w:rStyle w:val="FootnoteReference"/>
        </w:rPr>
        <w:footnoteRef/>
      </w:r>
      <w:r>
        <w:t xml:space="preserve"> </w:t>
      </w:r>
      <w:hyperlink r:id="rId3" w:history="1">
        <w:r w:rsidRPr="00996FDD">
          <w:rPr>
            <w:rStyle w:val="Hyperlink"/>
            <w:rFonts w:asciiTheme="minorHAnsi" w:hAnsiTheme="minorHAnsi" w:cstheme="minorHAnsi"/>
            <w:sz w:val="18"/>
            <w:szCs w:val="18"/>
          </w:rPr>
          <w:t>https://www.citybuildinginstitute.ca/portfolio/missing-middle/</w:t>
        </w:r>
      </w:hyperlink>
    </w:p>
    <w:p w14:paraId="07A8A3CF" w14:textId="77777777" w:rsidR="004F5276" w:rsidRDefault="004F5276">
      <w:pPr>
        <w:pStyle w:val="FootnoteText"/>
      </w:pPr>
    </w:p>
  </w:footnote>
  <w:footnote w:id="4">
    <w:p w14:paraId="4AC811CD" w14:textId="77777777" w:rsidR="00CA2AB0" w:rsidRPr="00996FDD" w:rsidRDefault="00CA2AB0" w:rsidP="00CA2AB0">
      <w:pPr>
        <w:rPr>
          <w:rFonts w:asciiTheme="minorHAnsi" w:hAnsiTheme="minorHAnsi" w:cstheme="minorHAnsi"/>
          <w:sz w:val="18"/>
          <w:szCs w:val="18"/>
        </w:rPr>
      </w:pPr>
      <w:r w:rsidRPr="00996FDD">
        <w:rPr>
          <w:rStyle w:val="FootnoteReference"/>
          <w:rFonts w:asciiTheme="minorHAnsi" w:hAnsiTheme="minorHAnsi" w:cstheme="minorHAnsi"/>
          <w:sz w:val="18"/>
          <w:szCs w:val="18"/>
        </w:rPr>
        <w:footnoteRef/>
      </w:r>
      <w:r w:rsidRPr="00996FDD">
        <w:rPr>
          <w:rFonts w:asciiTheme="minorHAnsi" w:hAnsiTheme="minorHAnsi" w:cstheme="minorHAnsi"/>
          <w:sz w:val="18"/>
          <w:szCs w:val="18"/>
        </w:rPr>
        <w:t xml:space="preserve"> </w:t>
      </w:r>
      <w:hyperlink r:id="rId4" w:history="1">
        <w:r w:rsidRPr="00996FDD">
          <w:rPr>
            <w:rStyle w:val="Hyperlink"/>
            <w:rFonts w:asciiTheme="minorHAnsi" w:hAnsiTheme="minorHAnsi" w:cstheme="minorHAnsi"/>
            <w:sz w:val="18"/>
            <w:szCs w:val="18"/>
          </w:rPr>
          <w:t>https://www.cmhc-schl.gc.ca/en/housing-observer-online/2018-housing-observer/drive-until-you-qualify-is-commute-worth-it</w:t>
        </w:r>
      </w:hyperlink>
    </w:p>
    <w:p w14:paraId="785FB99D" w14:textId="77777777" w:rsidR="00CA2AB0" w:rsidRDefault="00CA2AB0" w:rsidP="00CA2AB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ADFDB" w14:textId="1FD6F2E5" w:rsidR="00493865" w:rsidRDefault="00493865" w:rsidP="00410D65">
    <w:pPr>
      <w:pStyle w:val="Header"/>
      <w:jc w:val="center"/>
    </w:pPr>
    <w:r>
      <w:rPr>
        <w:rFonts w:ascii="Verdana" w:hAnsi="Verdana"/>
        <w:noProof/>
        <w:sz w:val="22"/>
        <w:szCs w:val="22"/>
      </w:rPr>
      <w:drawing>
        <wp:anchor distT="0" distB="0" distL="114300" distR="114300" simplePos="0" relativeHeight="251658240" behindDoc="1" locked="0" layoutInCell="1" allowOverlap="1" wp14:anchorId="1430F26B" wp14:editId="5AC907DB">
          <wp:simplePos x="0" y="0"/>
          <wp:positionH relativeFrom="column">
            <wp:posOffset>2312670</wp:posOffset>
          </wp:positionH>
          <wp:positionV relativeFrom="paragraph">
            <wp:posOffset>0</wp:posOffset>
          </wp:positionV>
          <wp:extent cx="1703070" cy="630136"/>
          <wp:effectExtent l="0" t="0" r="0" b="0"/>
          <wp:wrapTight wrapText="bothSides">
            <wp:wrapPolygon edited="0">
              <wp:start x="1691" y="0"/>
              <wp:lineTo x="0" y="3266"/>
              <wp:lineTo x="0" y="7185"/>
              <wp:lineTo x="1450" y="10452"/>
              <wp:lineTo x="1450" y="19597"/>
              <wp:lineTo x="2174" y="20903"/>
              <wp:lineTo x="7007" y="20903"/>
              <wp:lineTo x="8698" y="20903"/>
              <wp:lineTo x="19812" y="20903"/>
              <wp:lineTo x="21020" y="19597"/>
              <wp:lineTo x="19087" y="10452"/>
              <wp:lineTo x="21262" y="10452"/>
              <wp:lineTo x="21262" y="3919"/>
              <wp:lineTo x="4591" y="0"/>
              <wp:lineTo x="1691" y="0"/>
            </wp:wrapPolygon>
          </wp:wrapTight>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GAlogo.png"/>
                  <pic:cNvPicPr/>
                </pic:nvPicPr>
                <pic:blipFill>
                  <a:blip r:embed="rId1">
                    <a:extLst>
                      <a:ext uri="{28A0092B-C50C-407E-A947-70E740481C1C}">
                        <a14:useLocalDpi xmlns:a14="http://schemas.microsoft.com/office/drawing/2010/main" val="0"/>
                      </a:ext>
                    </a:extLst>
                  </a:blip>
                  <a:stretch>
                    <a:fillRect/>
                  </a:stretch>
                </pic:blipFill>
                <pic:spPr>
                  <a:xfrm>
                    <a:off x="0" y="0"/>
                    <a:ext cx="1703070" cy="6301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309DE"/>
    <w:multiLevelType w:val="hybridMultilevel"/>
    <w:tmpl w:val="A5E4A8D8"/>
    <w:lvl w:ilvl="0" w:tplc="1009000F">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7B70FE2"/>
    <w:multiLevelType w:val="multilevel"/>
    <w:tmpl w:val="ECE01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CE36CF"/>
    <w:multiLevelType w:val="hybridMultilevel"/>
    <w:tmpl w:val="E9D65620"/>
    <w:lvl w:ilvl="0" w:tplc="9A12362C">
      <w:start w:val="1"/>
      <w:numFmt w:val="lowerLetter"/>
      <w:lvlText w:val="%1)"/>
      <w:lvlJc w:val="left"/>
      <w:pPr>
        <w:ind w:left="720" w:hanging="360"/>
      </w:pPr>
      <w:rPr>
        <w:rFonts w:ascii="Verdana" w:eastAsia="Times New Roman" w:hAnsi="Verdana" w:cs="Times New Roman"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BFD7EC3"/>
    <w:multiLevelType w:val="multilevel"/>
    <w:tmpl w:val="B2ACE23E"/>
    <w:lvl w:ilvl="0">
      <w:start w:val="1"/>
      <w:numFmt w:val="decimal"/>
      <w:lvlText w:val="%1.0"/>
      <w:lvlJc w:val="left"/>
      <w:pPr>
        <w:ind w:left="405" w:hanging="405"/>
      </w:pPr>
      <w:rPr>
        <w:rFonts w:ascii="Verdana" w:hAnsi="Verdana" w:hint="default"/>
        <w:b/>
        <w:color w:val="000000"/>
        <w:sz w:val="22"/>
      </w:rPr>
    </w:lvl>
    <w:lvl w:ilvl="1">
      <w:start w:val="1"/>
      <w:numFmt w:val="decimal"/>
      <w:lvlText w:val="%1.%2"/>
      <w:lvlJc w:val="left"/>
      <w:pPr>
        <w:ind w:left="1125" w:hanging="405"/>
      </w:pPr>
      <w:rPr>
        <w:rFonts w:ascii="Verdana" w:hAnsi="Verdana" w:hint="default"/>
        <w:b/>
        <w:color w:val="000000"/>
        <w:sz w:val="22"/>
      </w:rPr>
    </w:lvl>
    <w:lvl w:ilvl="2">
      <w:start w:val="1"/>
      <w:numFmt w:val="decimal"/>
      <w:lvlText w:val="%1.%2.%3"/>
      <w:lvlJc w:val="left"/>
      <w:pPr>
        <w:ind w:left="2160" w:hanging="720"/>
      </w:pPr>
      <w:rPr>
        <w:rFonts w:ascii="Verdana" w:hAnsi="Verdana" w:hint="default"/>
        <w:b/>
        <w:color w:val="000000"/>
        <w:sz w:val="22"/>
      </w:rPr>
    </w:lvl>
    <w:lvl w:ilvl="3">
      <w:start w:val="1"/>
      <w:numFmt w:val="decimal"/>
      <w:lvlText w:val="%1.%2.%3.%4"/>
      <w:lvlJc w:val="left"/>
      <w:pPr>
        <w:ind w:left="2880" w:hanging="720"/>
      </w:pPr>
      <w:rPr>
        <w:rFonts w:ascii="Verdana" w:hAnsi="Verdana" w:hint="default"/>
        <w:b/>
        <w:color w:val="000000"/>
        <w:sz w:val="22"/>
      </w:rPr>
    </w:lvl>
    <w:lvl w:ilvl="4">
      <w:start w:val="1"/>
      <w:numFmt w:val="decimal"/>
      <w:lvlText w:val="%1.%2.%3.%4.%5"/>
      <w:lvlJc w:val="left"/>
      <w:pPr>
        <w:ind w:left="3960" w:hanging="1080"/>
      </w:pPr>
      <w:rPr>
        <w:rFonts w:ascii="Verdana" w:hAnsi="Verdana" w:hint="default"/>
        <w:b/>
        <w:color w:val="000000"/>
        <w:sz w:val="22"/>
      </w:rPr>
    </w:lvl>
    <w:lvl w:ilvl="5">
      <w:start w:val="1"/>
      <w:numFmt w:val="decimal"/>
      <w:lvlText w:val="%1.%2.%3.%4.%5.%6"/>
      <w:lvlJc w:val="left"/>
      <w:pPr>
        <w:ind w:left="4680" w:hanging="1080"/>
      </w:pPr>
      <w:rPr>
        <w:rFonts w:ascii="Verdana" w:hAnsi="Verdana" w:hint="default"/>
        <w:b/>
        <w:color w:val="000000"/>
        <w:sz w:val="22"/>
      </w:rPr>
    </w:lvl>
    <w:lvl w:ilvl="6">
      <w:start w:val="1"/>
      <w:numFmt w:val="decimal"/>
      <w:lvlText w:val="%1.%2.%3.%4.%5.%6.%7"/>
      <w:lvlJc w:val="left"/>
      <w:pPr>
        <w:ind w:left="5760" w:hanging="1440"/>
      </w:pPr>
      <w:rPr>
        <w:rFonts w:ascii="Verdana" w:hAnsi="Verdana" w:hint="default"/>
        <w:b/>
        <w:color w:val="000000"/>
        <w:sz w:val="22"/>
      </w:rPr>
    </w:lvl>
    <w:lvl w:ilvl="7">
      <w:start w:val="1"/>
      <w:numFmt w:val="decimal"/>
      <w:lvlText w:val="%1.%2.%3.%4.%5.%6.%7.%8"/>
      <w:lvlJc w:val="left"/>
      <w:pPr>
        <w:ind w:left="6480" w:hanging="1440"/>
      </w:pPr>
      <w:rPr>
        <w:rFonts w:ascii="Verdana" w:hAnsi="Verdana" w:hint="default"/>
        <w:b/>
        <w:color w:val="000000"/>
        <w:sz w:val="22"/>
      </w:rPr>
    </w:lvl>
    <w:lvl w:ilvl="8">
      <w:start w:val="1"/>
      <w:numFmt w:val="decimal"/>
      <w:lvlText w:val="%1.%2.%3.%4.%5.%6.%7.%8.%9"/>
      <w:lvlJc w:val="left"/>
      <w:pPr>
        <w:ind w:left="7560" w:hanging="1800"/>
      </w:pPr>
      <w:rPr>
        <w:rFonts w:ascii="Verdana" w:hAnsi="Verdana" w:hint="default"/>
        <w:b/>
        <w:color w:val="000000"/>
        <w:sz w:val="22"/>
      </w:rPr>
    </w:lvl>
  </w:abstractNum>
  <w:abstractNum w:abstractNumId="4" w15:restartNumberingAfterBreak="0">
    <w:nsid w:val="2ACA4629"/>
    <w:multiLevelType w:val="hybridMultilevel"/>
    <w:tmpl w:val="C9EAB15E"/>
    <w:lvl w:ilvl="0" w:tplc="FED866BC">
      <w:start w:val="1"/>
      <w:numFmt w:val="lowerLetter"/>
      <w:lvlText w:val="%1)"/>
      <w:lvlJc w:val="left"/>
      <w:pPr>
        <w:ind w:left="720" w:hanging="360"/>
      </w:pPr>
      <w:rPr>
        <w:rFonts w:ascii="Verdana" w:eastAsia="Times New Roman" w:hAnsi="Verdana" w:cs="Times New Roman"/>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05E541A"/>
    <w:multiLevelType w:val="multilevel"/>
    <w:tmpl w:val="2F1A843C"/>
    <w:lvl w:ilvl="0">
      <w:start w:val="2"/>
      <w:numFmt w:val="decimal"/>
      <w:lvlText w:val="%1.0"/>
      <w:lvlJc w:val="left"/>
      <w:pPr>
        <w:ind w:left="405" w:hanging="405"/>
      </w:pPr>
      <w:rPr>
        <w:rFonts w:ascii="Verdana" w:hAnsi="Verdana" w:hint="default"/>
        <w:color w:val="000000"/>
        <w:sz w:val="22"/>
      </w:rPr>
    </w:lvl>
    <w:lvl w:ilvl="1">
      <w:start w:val="1"/>
      <w:numFmt w:val="decimal"/>
      <w:lvlText w:val="%1.%2"/>
      <w:lvlJc w:val="left"/>
      <w:pPr>
        <w:ind w:left="1125" w:hanging="405"/>
      </w:pPr>
      <w:rPr>
        <w:rFonts w:ascii="Verdana" w:hAnsi="Verdana" w:hint="default"/>
        <w:color w:val="000000"/>
        <w:sz w:val="22"/>
      </w:rPr>
    </w:lvl>
    <w:lvl w:ilvl="2">
      <w:start w:val="1"/>
      <w:numFmt w:val="decimal"/>
      <w:lvlText w:val="%1.%2.%3"/>
      <w:lvlJc w:val="left"/>
      <w:pPr>
        <w:ind w:left="2160" w:hanging="720"/>
      </w:pPr>
      <w:rPr>
        <w:rFonts w:ascii="Verdana" w:hAnsi="Verdana" w:hint="default"/>
        <w:color w:val="000000"/>
        <w:sz w:val="22"/>
      </w:rPr>
    </w:lvl>
    <w:lvl w:ilvl="3">
      <w:start w:val="1"/>
      <w:numFmt w:val="decimal"/>
      <w:lvlText w:val="%1.%2.%3.%4"/>
      <w:lvlJc w:val="left"/>
      <w:pPr>
        <w:ind w:left="2880" w:hanging="720"/>
      </w:pPr>
      <w:rPr>
        <w:rFonts w:ascii="Verdana" w:hAnsi="Verdana" w:hint="default"/>
        <w:color w:val="000000"/>
        <w:sz w:val="22"/>
      </w:rPr>
    </w:lvl>
    <w:lvl w:ilvl="4">
      <w:start w:val="1"/>
      <w:numFmt w:val="decimal"/>
      <w:lvlText w:val="%1.%2.%3.%4.%5"/>
      <w:lvlJc w:val="left"/>
      <w:pPr>
        <w:ind w:left="3960" w:hanging="1080"/>
      </w:pPr>
      <w:rPr>
        <w:rFonts w:ascii="Verdana" w:hAnsi="Verdana" w:hint="default"/>
        <w:color w:val="000000"/>
        <w:sz w:val="22"/>
      </w:rPr>
    </w:lvl>
    <w:lvl w:ilvl="5">
      <w:start w:val="1"/>
      <w:numFmt w:val="decimal"/>
      <w:lvlText w:val="%1.%2.%3.%4.%5.%6"/>
      <w:lvlJc w:val="left"/>
      <w:pPr>
        <w:ind w:left="4680" w:hanging="1080"/>
      </w:pPr>
      <w:rPr>
        <w:rFonts w:ascii="Verdana" w:hAnsi="Verdana" w:hint="default"/>
        <w:color w:val="000000"/>
        <w:sz w:val="22"/>
      </w:rPr>
    </w:lvl>
    <w:lvl w:ilvl="6">
      <w:start w:val="1"/>
      <w:numFmt w:val="decimal"/>
      <w:lvlText w:val="%1.%2.%3.%4.%5.%6.%7"/>
      <w:lvlJc w:val="left"/>
      <w:pPr>
        <w:ind w:left="5760" w:hanging="1440"/>
      </w:pPr>
      <w:rPr>
        <w:rFonts w:ascii="Verdana" w:hAnsi="Verdana" w:hint="default"/>
        <w:color w:val="000000"/>
        <w:sz w:val="22"/>
      </w:rPr>
    </w:lvl>
    <w:lvl w:ilvl="7">
      <w:start w:val="1"/>
      <w:numFmt w:val="decimal"/>
      <w:lvlText w:val="%1.%2.%3.%4.%5.%6.%7.%8"/>
      <w:lvlJc w:val="left"/>
      <w:pPr>
        <w:ind w:left="6480" w:hanging="1440"/>
      </w:pPr>
      <w:rPr>
        <w:rFonts w:ascii="Verdana" w:hAnsi="Verdana" w:hint="default"/>
        <w:color w:val="000000"/>
        <w:sz w:val="22"/>
      </w:rPr>
    </w:lvl>
    <w:lvl w:ilvl="8">
      <w:start w:val="1"/>
      <w:numFmt w:val="decimal"/>
      <w:lvlText w:val="%1.%2.%3.%4.%5.%6.%7.%8.%9"/>
      <w:lvlJc w:val="left"/>
      <w:pPr>
        <w:ind w:left="7560" w:hanging="1800"/>
      </w:pPr>
      <w:rPr>
        <w:rFonts w:ascii="Verdana" w:hAnsi="Verdana" w:hint="default"/>
        <w:color w:val="000000"/>
        <w:sz w:val="22"/>
      </w:rPr>
    </w:lvl>
  </w:abstractNum>
  <w:abstractNum w:abstractNumId="6" w15:restartNumberingAfterBreak="0">
    <w:nsid w:val="340D1601"/>
    <w:multiLevelType w:val="multilevel"/>
    <w:tmpl w:val="07D020A0"/>
    <w:lvl w:ilvl="0">
      <w:start w:val="1"/>
      <w:numFmt w:val="decimal"/>
      <w:lvlText w:val="%1."/>
      <w:lvlJc w:val="left"/>
      <w:pPr>
        <w:ind w:left="360" w:hanging="360"/>
      </w:pPr>
      <w:rPr>
        <w:rFonts w:hint="default"/>
        <w:b/>
      </w:r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6C570DD"/>
    <w:multiLevelType w:val="hybridMultilevel"/>
    <w:tmpl w:val="25D0EB84"/>
    <w:lvl w:ilvl="0" w:tplc="D98679AA">
      <w:start w:val="1"/>
      <w:numFmt w:val="lowerLetter"/>
      <w:lvlText w:val="%1)"/>
      <w:lvlJc w:val="left"/>
      <w:pPr>
        <w:ind w:left="1440" w:hanging="360"/>
      </w:pPr>
      <w:rPr>
        <w:rFonts w:ascii="Verdana" w:eastAsia="Times New Roman" w:hAnsi="Verdana" w:cs="Times New Roman"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8" w15:restartNumberingAfterBreak="0">
    <w:nsid w:val="4BC5137B"/>
    <w:multiLevelType w:val="hybridMultilevel"/>
    <w:tmpl w:val="9B1C2DA4"/>
    <w:lvl w:ilvl="0" w:tplc="64384190">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CB5022A"/>
    <w:multiLevelType w:val="multilevel"/>
    <w:tmpl w:val="7310D09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0" w15:restartNumberingAfterBreak="0">
    <w:nsid w:val="51A02C9E"/>
    <w:multiLevelType w:val="multilevel"/>
    <w:tmpl w:val="CAE8C032"/>
    <w:lvl w:ilvl="0">
      <w:start w:val="4"/>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1" w15:restartNumberingAfterBreak="0">
    <w:nsid w:val="5E1F242C"/>
    <w:multiLevelType w:val="multilevel"/>
    <w:tmpl w:val="7A94FC16"/>
    <w:lvl w:ilvl="0">
      <w:start w:val="1"/>
      <w:numFmt w:val="lowerLetter"/>
      <w:lvlText w:val="%1)"/>
      <w:lvlJc w:val="left"/>
      <w:pPr>
        <w:ind w:left="720" w:hanging="360"/>
      </w:pPr>
      <w:rPr>
        <w:rFonts w:ascii="Verdana" w:eastAsia="Times New Roman" w:hAnsi="Verdana" w:cs="Times New Roman"/>
        <w:b/>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60225590"/>
    <w:multiLevelType w:val="hybridMultilevel"/>
    <w:tmpl w:val="7EC81DB6"/>
    <w:lvl w:ilvl="0" w:tplc="18FE1B30">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3A877E6"/>
    <w:multiLevelType w:val="hybridMultilevel"/>
    <w:tmpl w:val="B2EED0D4"/>
    <w:lvl w:ilvl="0" w:tplc="1009000F">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C441574"/>
    <w:multiLevelType w:val="hybridMultilevel"/>
    <w:tmpl w:val="F0382308"/>
    <w:lvl w:ilvl="0" w:tplc="78CCC05A">
      <w:start w:val="1"/>
      <w:numFmt w:val="lowerLetter"/>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7C5F0974"/>
    <w:multiLevelType w:val="hybridMultilevel"/>
    <w:tmpl w:val="CCC8A7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6"/>
  </w:num>
  <w:num w:numId="4">
    <w:abstractNumId w:val="8"/>
  </w:num>
  <w:num w:numId="5">
    <w:abstractNumId w:val="14"/>
  </w:num>
  <w:num w:numId="6">
    <w:abstractNumId w:val="2"/>
  </w:num>
  <w:num w:numId="7">
    <w:abstractNumId w:val="12"/>
  </w:num>
  <w:num w:numId="8">
    <w:abstractNumId w:val="1"/>
  </w:num>
  <w:num w:numId="9">
    <w:abstractNumId w:val="13"/>
  </w:num>
  <w:num w:numId="10">
    <w:abstractNumId w:val="0"/>
  </w:num>
  <w:num w:numId="11">
    <w:abstractNumId w:val="4"/>
  </w:num>
  <w:num w:numId="12">
    <w:abstractNumId w:val="5"/>
  </w:num>
  <w:num w:numId="13">
    <w:abstractNumId w:val="3"/>
  </w:num>
  <w:num w:numId="14">
    <w:abstractNumId w:val="10"/>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F14"/>
    <w:rsid w:val="000363A3"/>
    <w:rsid w:val="00097DCF"/>
    <w:rsid w:val="000B4C60"/>
    <w:rsid w:val="000E0334"/>
    <w:rsid w:val="000F12DB"/>
    <w:rsid w:val="000F47F0"/>
    <w:rsid w:val="000F68E0"/>
    <w:rsid w:val="00104BA4"/>
    <w:rsid w:val="00115E9F"/>
    <w:rsid w:val="00126863"/>
    <w:rsid w:val="001415D1"/>
    <w:rsid w:val="001451D2"/>
    <w:rsid w:val="001508B4"/>
    <w:rsid w:val="00180005"/>
    <w:rsid w:val="001E1CBF"/>
    <w:rsid w:val="0023111A"/>
    <w:rsid w:val="00236415"/>
    <w:rsid w:val="00241434"/>
    <w:rsid w:val="00263AA5"/>
    <w:rsid w:val="00272057"/>
    <w:rsid w:val="002A00A2"/>
    <w:rsid w:val="002E472A"/>
    <w:rsid w:val="002F0FF4"/>
    <w:rsid w:val="00306BFA"/>
    <w:rsid w:val="00332508"/>
    <w:rsid w:val="00340588"/>
    <w:rsid w:val="00350100"/>
    <w:rsid w:val="0035411A"/>
    <w:rsid w:val="00385E73"/>
    <w:rsid w:val="003A4097"/>
    <w:rsid w:val="003C3659"/>
    <w:rsid w:val="003E21C7"/>
    <w:rsid w:val="00401DCD"/>
    <w:rsid w:val="00410D65"/>
    <w:rsid w:val="00424EBB"/>
    <w:rsid w:val="0043335A"/>
    <w:rsid w:val="00482FA8"/>
    <w:rsid w:val="00493865"/>
    <w:rsid w:val="004C4B5A"/>
    <w:rsid w:val="004C4B88"/>
    <w:rsid w:val="004E0562"/>
    <w:rsid w:val="004F5276"/>
    <w:rsid w:val="00503FD8"/>
    <w:rsid w:val="00512584"/>
    <w:rsid w:val="00545786"/>
    <w:rsid w:val="005501D5"/>
    <w:rsid w:val="00556532"/>
    <w:rsid w:val="005A2F03"/>
    <w:rsid w:val="005C7604"/>
    <w:rsid w:val="005E06A8"/>
    <w:rsid w:val="00696506"/>
    <w:rsid w:val="00697F32"/>
    <w:rsid w:val="006B206D"/>
    <w:rsid w:val="006C6AA1"/>
    <w:rsid w:val="006F65FC"/>
    <w:rsid w:val="00703490"/>
    <w:rsid w:val="00736D38"/>
    <w:rsid w:val="007556EC"/>
    <w:rsid w:val="0075594D"/>
    <w:rsid w:val="0076292E"/>
    <w:rsid w:val="00762CAB"/>
    <w:rsid w:val="0076776C"/>
    <w:rsid w:val="007B1E82"/>
    <w:rsid w:val="007E414D"/>
    <w:rsid w:val="0082506A"/>
    <w:rsid w:val="008302D3"/>
    <w:rsid w:val="00831348"/>
    <w:rsid w:val="00891F37"/>
    <w:rsid w:val="008C5CEC"/>
    <w:rsid w:val="008F4D11"/>
    <w:rsid w:val="00931F93"/>
    <w:rsid w:val="00932939"/>
    <w:rsid w:val="00952D3B"/>
    <w:rsid w:val="00992DA9"/>
    <w:rsid w:val="00996FDD"/>
    <w:rsid w:val="009C05B7"/>
    <w:rsid w:val="009F7927"/>
    <w:rsid w:val="00A1630E"/>
    <w:rsid w:val="00A230A5"/>
    <w:rsid w:val="00A91954"/>
    <w:rsid w:val="00AE2FB6"/>
    <w:rsid w:val="00B12BAC"/>
    <w:rsid w:val="00B2016D"/>
    <w:rsid w:val="00B252A4"/>
    <w:rsid w:val="00B34097"/>
    <w:rsid w:val="00B41AEE"/>
    <w:rsid w:val="00B42824"/>
    <w:rsid w:val="00B809FA"/>
    <w:rsid w:val="00B8237D"/>
    <w:rsid w:val="00B85C01"/>
    <w:rsid w:val="00BD2596"/>
    <w:rsid w:val="00BE5B86"/>
    <w:rsid w:val="00BF44F2"/>
    <w:rsid w:val="00C17AF6"/>
    <w:rsid w:val="00C23F02"/>
    <w:rsid w:val="00C440D8"/>
    <w:rsid w:val="00C65DD3"/>
    <w:rsid w:val="00CA2AB0"/>
    <w:rsid w:val="00CD2F30"/>
    <w:rsid w:val="00CE2060"/>
    <w:rsid w:val="00D10CAD"/>
    <w:rsid w:val="00D10F14"/>
    <w:rsid w:val="00D37590"/>
    <w:rsid w:val="00D43304"/>
    <w:rsid w:val="00D557A5"/>
    <w:rsid w:val="00D84A8D"/>
    <w:rsid w:val="00D92897"/>
    <w:rsid w:val="00DE56D0"/>
    <w:rsid w:val="00DF1427"/>
    <w:rsid w:val="00DF7A4F"/>
    <w:rsid w:val="00E24A5A"/>
    <w:rsid w:val="00E3673D"/>
    <w:rsid w:val="00E67CA7"/>
    <w:rsid w:val="00E7778C"/>
    <w:rsid w:val="00E8596C"/>
    <w:rsid w:val="00E97C44"/>
    <w:rsid w:val="00EB344F"/>
    <w:rsid w:val="00EB4E89"/>
    <w:rsid w:val="00EE3D30"/>
    <w:rsid w:val="00EE4EDA"/>
    <w:rsid w:val="00EF1ED6"/>
    <w:rsid w:val="00F11A9F"/>
    <w:rsid w:val="00F21B79"/>
    <w:rsid w:val="00F64FA3"/>
    <w:rsid w:val="00FB119A"/>
    <w:rsid w:val="00FC39F3"/>
    <w:rsid w:val="00FD2AE3"/>
    <w:rsid w:val="00FE0E96"/>
    <w:rsid w:val="00FF21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612FB82B"/>
  <w15:docId w15:val="{48150C32-3DB9-462F-89A9-56D0A0486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52A4"/>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0F14"/>
    <w:pPr>
      <w:tabs>
        <w:tab w:val="center" w:pos="4320"/>
        <w:tab w:val="right" w:pos="8640"/>
      </w:tabs>
    </w:pPr>
  </w:style>
  <w:style w:type="paragraph" w:styleId="Footer">
    <w:name w:val="footer"/>
    <w:basedOn w:val="Normal"/>
    <w:link w:val="FooterChar"/>
    <w:uiPriority w:val="99"/>
    <w:rsid w:val="00D10F14"/>
    <w:pPr>
      <w:tabs>
        <w:tab w:val="center" w:pos="4320"/>
        <w:tab w:val="right" w:pos="8640"/>
      </w:tabs>
    </w:pPr>
  </w:style>
  <w:style w:type="paragraph" w:styleId="Date">
    <w:name w:val="Date"/>
    <w:basedOn w:val="Normal"/>
    <w:next w:val="Normal"/>
    <w:rsid w:val="00D10F14"/>
  </w:style>
  <w:style w:type="character" w:styleId="Hyperlink">
    <w:name w:val="Hyperlink"/>
    <w:rsid w:val="006C6AA1"/>
    <w:rPr>
      <w:color w:val="0000FF"/>
      <w:u w:val="single"/>
    </w:rPr>
  </w:style>
  <w:style w:type="paragraph" w:styleId="ListParagraph">
    <w:name w:val="List Paragraph"/>
    <w:basedOn w:val="Normal"/>
    <w:uiPriority w:val="34"/>
    <w:qFormat/>
    <w:rsid w:val="003A4097"/>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rsid w:val="008C5CEC"/>
    <w:rPr>
      <w:rFonts w:ascii="Tahoma" w:hAnsi="Tahoma" w:cs="Tahoma"/>
      <w:sz w:val="16"/>
      <w:szCs w:val="16"/>
    </w:rPr>
  </w:style>
  <w:style w:type="character" w:customStyle="1" w:styleId="BalloonTextChar">
    <w:name w:val="Balloon Text Char"/>
    <w:link w:val="BalloonText"/>
    <w:rsid w:val="008C5CEC"/>
    <w:rPr>
      <w:rFonts w:ascii="Tahoma" w:hAnsi="Tahoma" w:cs="Tahoma"/>
      <w:sz w:val="16"/>
      <w:szCs w:val="16"/>
      <w:lang w:eastAsia="zh-CN"/>
    </w:rPr>
  </w:style>
  <w:style w:type="paragraph" w:styleId="EndnoteText">
    <w:name w:val="endnote text"/>
    <w:basedOn w:val="Normal"/>
    <w:link w:val="EndnoteTextChar"/>
    <w:rsid w:val="0075594D"/>
    <w:rPr>
      <w:sz w:val="20"/>
      <w:szCs w:val="20"/>
    </w:rPr>
  </w:style>
  <w:style w:type="character" w:customStyle="1" w:styleId="EndnoteTextChar">
    <w:name w:val="Endnote Text Char"/>
    <w:basedOn w:val="DefaultParagraphFont"/>
    <w:link w:val="EndnoteText"/>
    <w:rsid w:val="0075594D"/>
    <w:rPr>
      <w:lang w:eastAsia="zh-CN"/>
    </w:rPr>
  </w:style>
  <w:style w:type="character" w:styleId="EndnoteReference">
    <w:name w:val="endnote reference"/>
    <w:basedOn w:val="DefaultParagraphFont"/>
    <w:rsid w:val="0075594D"/>
    <w:rPr>
      <w:vertAlign w:val="superscript"/>
    </w:rPr>
  </w:style>
  <w:style w:type="paragraph" w:styleId="FootnoteText">
    <w:name w:val="footnote text"/>
    <w:basedOn w:val="Normal"/>
    <w:link w:val="FootnoteTextChar"/>
    <w:semiHidden/>
    <w:unhideWhenUsed/>
    <w:rsid w:val="00996FDD"/>
    <w:rPr>
      <w:sz w:val="20"/>
      <w:szCs w:val="20"/>
    </w:rPr>
  </w:style>
  <w:style w:type="character" w:customStyle="1" w:styleId="FootnoteTextChar">
    <w:name w:val="Footnote Text Char"/>
    <w:basedOn w:val="DefaultParagraphFont"/>
    <w:link w:val="FootnoteText"/>
    <w:semiHidden/>
    <w:rsid w:val="00996FDD"/>
    <w:rPr>
      <w:lang w:eastAsia="zh-CN"/>
    </w:rPr>
  </w:style>
  <w:style w:type="character" w:styleId="FootnoteReference">
    <w:name w:val="footnote reference"/>
    <w:basedOn w:val="DefaultParagraphFont"/>
    <w:semiHidden/>
    <w:unhideWhenUsed/>
    <w:rsid w:val="00996FDD"/>
    <w:rPr>
      <w:vertAlign w:val="superscript"/>
    </w:rPr>
  </w:style>
  <w:style w:type="character" w:customStyle="1" w:styleId="UnresolvedMention1">
    <w:name w:val="Unresolved Mention1"/>
    <w:basedOn w:val="DefaultParagraphFont"/>
    <w:uiPriority w:val="99"/>
    <w:semiHidden/>
    <w:unhideWhenUsed/>
    <w:rsid w:val="00DF7A4F"/>
    <w:rPr>
      <w:color w:val="605E5C"/>
      <w:shd w:val="clear" w:color="auto" w:fill="E1DFDD"/>
    </w:rPr>
  </w:style>
  <w:style w:type="character" w:styleId="CommentReference">
    <w:name w:val="annotation reference"/>
    <w:basedOn w:val="DefaultParagraphFont"/>
    <w:semiHidden/>
    <w:unhideWhenUsed/>
    <w:rsid w:val="00B42824"/>
    <w:rPr>
      <w:sz w:val="16"/>
      <w:szCs w:val="16"/>
    </w:rPr>
  </w:style>
  <w:style w:type="paragraph" w:styleId="CommentText">
    <w:name w:val="annotation text"/>
    <w:basedOn w:val="Normal"/>
    <w:link w:val="CommentTextChar"/>
    <w:semiHidden/>
    <w:unhideWhenUsed/>
    <w:rsid w:val="00B42824"/>
    <w:rPr>
      <w:sz w:val="20"/>
      <w:szCs w:val="20"/>
    </w:rPr>
  </w:style>
  <w:style w:type="character" w:customStyle="1" w:styleId="CommentTextChar">
    <w:name w:val="Comment Text Char"/>
    <w:basedOn w:val="DefaultParagraphFont"/>
    <w:link w:val="CommentText"/>
    <w:semiHidden/>
    <w:rsid w:val="00B42824"/>
    <w:rPr>
      <w:lang w:eastAsia="zh-CN"/>
    </w:rPr>
  </w:style>
  <w:style w:type="paragraph" w:styleId="CommentSubject">
    <w:name w:val="annotation subject"/>
    <w:basedOn w:val="CommentText"/>
    <w:next w:val="CommentText"/>
    <w:link w:val="CommentSubjectChar"/>
    <w:semiHidden/>
    <w:unhideWhenUsed/>
    <w:rsid w:val="00B42824"/>
    <w:rPr>
      <w:b/>
      <w:bCs/>
    </w:rPr>
  </w:style>
  <w:style w:type="character" w:customStyle="1" w:styleId="CommentSubjectChar">
    <w:name w:val="Comment Subject Char"/>
    <w:basedOn w:val="CommentTextChar"/>
    <w:link w:val="CommentSubject"/>
    <w:semiHidden/>
    <w:rsid w:val="00B42824"/>
    <w:rPr>
      <w:b/>
      <w:bCs/>
      <w:lang w:eastAsia="zh-CN"/>
    </w:rPr>
  </w:style>
  <w:style w:type="character" w:customStyle="1" w:styleId="FooterChar">
    <w:name w:val="Footer Char"/>
    <w:basedOn w:val="DefaultParagraphFont"/>
    <w:link w:val="Footer"/>
    <w:uiPriority w:val="99"/>
    <w:rsid w:val="00410D65"/>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773264">
      <w:bodyDiv w:val="1"/>
      <w:marLeft w:val="0"/>
      <w:marRight w:val="0"/>
      <w:marTop w:val="0"/>
      <w:marBottom w:val="0"/>
      <w:divBdr>
        <w:top w:val="none" w:sz="0" w:space="0" w:color="auto"/>
        <w:left w:val="none" w:sz="0" w:space="0" w:color="auto"/>
        <w:bottom w:val="none" w:sz="0" w:space="0" w:color="auto"/>
        <w:right w:val="none" w:sz="0" w:space="0" w:color="auto"/>
      </w:divBdr>
      <w:divsChild>
        <w:div w:id="1053769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owthplanning@ontario.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s://www.simcoe.ca/Planning/Documents/Simcoe%20County%20Land%20Budget_Data%20Collection%20and%20Analysis_Phase%202%20Employment_Hemson%20Consulting_20%20June%2017.pdf" TargetMode="External"/><Relationship Id="rId3" Type="http://schemas.openxmlformats.org/officeDocument/2006/relationships/hyperlink" Target="http://beta.halton.ca/repository/Halton-Competitiveness-Study-2016" TargetMode="External"/><Relationship Id="rId7" Type="http://schemas.openxmlformats.org/officeDocument/2006/relationships/hyperlink" Target="https://www.hamilton.ca/mapping-business-reporting/activity-reports/employment-area-inventory" TargetMode="External"/><Relationship Id="rId2" Type="http://schemas.openxmlformats.org/officeDocument/2006/relationships/hyperlink" Target="https://www.york.ca/wps/wcm/connect/yorkpublic/faa33468-b3c9-464a-9676-10be05613f20/mar+22+vacant+ex.pdf?MOD=AJPERES" TargetMode="External"/><Relationship Id="rId1" Type="http://schemas.openxmlformats.org/officeDocument/2006/relationships/hyperlink" Target="https://ero.ontario.ca/notice/013-4504" TargetMode="External"/><Relationship Id="rId6" Type="http://schemas.openxmlformats.org/officeDocument/2006/relationships/hyperlink" Target="https://www.durham.ca/en/living-here/resources/Documents/EnvironmentalStability/EAServicing_Durham.pdf" TargetMode="External"/><Relationship Id="rId5" Type="http://schemas.openxmlformats.org/officeDocument/2006/relationships/hyperlink" Target="http://www.brampton.ca/EN/City-Hall/meetings-agendas/PDD%20Committee%202010/20151207pis_Full%20Agenda.pdf" TargetMode="External"/><Relationship Id="rId4" Type="http://schemas.openxmlformats.org/officeDocument/2006/relationships/hyperlink" Target="http://www5.mississauga.ca/research_catalogue/N_12_2016_VacantLands_Profile.pdf" TargetMode="External"/><Relationship Id="rId9" Type="http://schemas.openxmlformats.org/officeDocument/2006/relationships/hyperlink" Target="https://niagararegion.ca/council/Council%20Documents/ICP%208-2014.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itybuildinginstitute.ca/portfolio/missing-middle/" TargetMode="External"/><Relationship Id="rId2" Type="http://schemas.openxmlformats.org/officeDocument/2006/relationships/hyperlink" Target="https://www.citybuildinginstitute.ca/portfolio/missing-middle/" TargetMode="External"/><Relationship Id="rId1" Type="http://schemas.openxmlformats.org/officeDocument/2006/relationships/hyperlink" Target="https://www.york.ca/wps/wcm/connect/yorkpublic/88c32857-5865-466a-9b42-7a2b6749f9bb/may+18+housing+ex.pdf?MOD=AJPERES" TargetMode="External"/><Relationship Id="rId4" Type="http://schemas.openxmlformats.org/officeDocument/2006/relationships/hyperlink" Target="https://www.cmhc-schl.gc.ca/en/housing-observer-online/2018-housing-observer/drive-until-you-qualify-is-commute-worth-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10885-5EED-4C23-8CD5-DB3ED571D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1986</Words>
  <Characters>11367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Environmental Defence</Company>
  <LinksUpToDate>false</LinksUpToDate>
  <CharactersWithSpaces>13327</CharactersWithSpaces>
  <SharedDoc>false</SharedDoc>
  <HLinks>
    <vt:vector size="6" baseType="variant">
      <vt:variant>
        <vt:i4>3997774</vt:i4>
      </vt:variant>
      <vt:variant>
        <vt:i4>0</vt:i4>
      </vt:variant>
      <vt:variant>
        <vt:i4>0</vt:i4>
      </vt:variant>
      <vt:variant>
        <vt:i4>5</vt:i4>
      </vt:variant>
      <vt:variant>
        <vt:lpwstr>mailto:Cordelia.clarkejulien@ontario.ca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Lloyd Swail</dc:creator>
  <cp:lastModifiedBy>Susan Lloyd Swail</cp:lastModifiedBy>
  <cp:revision>2</cp:revision>
  <cp:lastPrinted>2018-12-18T13:25:00Z</cp:lastPrinted>
  <dcterms:created xsi:type="dcterms:W3CDTF">2019-02-15T00:09:00Z</dcterms:created>
  <dcterms:modified xsi:type="dcterms:W3CDTF">2019-02-15T00:09:00Z</dcterms:modified>
</cp:coreProperties>
</file>