
<file path=[Content_Types].xml><?xml version="1.0" encoding="utf-8"?>
<Types xmlns="http://schemas.openxmlformats.org/package/2006/content-types">
  <Override PartName="/word/numbering.xml" ContentType="application/vnd.openxmlformats-officedocument.wordprocessingml.numbering+xml"/>
  <Default Extension="tiff" ContentType="image/tiff"/>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46AE3" w:rsidRPr="00FB23CA" w:rsidRDefault="00FB23CA" w:rsidP="00C9619A">
      <w:pPr>
        <w:spacing w:after="0" w:line="312" w:lineRule="auto"/>
        <w:rPr>
          <w:b/>
          <w:lang w:val="en-GB"/>
        </w:rPr>
      </w:pPr>
      <w:r>
        <w:rPr>
          <w:b/>
          <w:color w:val="FF0000"/>
          <w:lang w:val="en-GB"/>
        </w:rPr>
        <w:t xml:space="preserve">EMBARGOED </w:t>
      </w:r>
      <w:r w:rsidRPr="00FB23CA">
        <w:rPr>
          <w:b/>
          <w:lang w:val="en-GB"/>
        </w:rPr>
        <w:t xml:space="preserve">to 0001 Hours GMT, Monday </w:t>
      </w:r>
      <w:r w:rsidR="007B568B">
        <w:rPr>
          <w:b/>
          <w:lang w:val="en-GB"/>
        </w:rPr>
        <w:t>2</w:t>
      </w:r>
      <w:r w:rsidR="007B568B" w:rsidRPr="007B568B">
        <w:rPr>
          <w:b/>
          <w:vertAlign w:val="superscript"/>
          <w:lang w:val="en-GB"/>
        </w:rPr>
        <w:t>nd</w:t>
      </w:r>
      <w:r w:rsidR="007B568B">
        <w:rPr>
          <w:b/>
          <w:lang w:val="en-GB"/>
        </w:rPr>
        <w:t xml:space="preserve"> May</w:t>
      </w:r>
    </w:p>
    <w:p w:rsidR="00C9619A" w:rsidRPr="00C9619A" w:rsidRDefault="00C9619A" w:rsidP="00C9619A">
      <w:pPr>
        <w:spacing w:after="0" w:line="312" w:lineRule="auto"/>
        <w:rPr>
          <w:b/>
          <w:color w:val="FF0000"/>
          <w:lang w:val="en-GB"/>
        </w:rPr>
      </w:pPr>
    </w:p>
    <w:p w:rsidR="00C35D53" w:rsidRPr="0041113D" w:rsidRDefault="00C35D53" w:rsidP="00C9619A">
      <w:pPr>
        <w:spacing w:after="0" w:line="312" w:lineRule="auto"/>
        <w:jc w:val="center"/>
        <w:rPr>
          <w:b/>
          <w:sz w:val="28"/>
          <w:szCs w:val="28"/>
        </w:rPr>
      </w:pPr>
      <w:r w:rsidRPr="0041113D">
        <w:rPr>
          <w:b/>
          <w:sz w:val="28"/>
          <w:szCs w:val="28"/>
        </w:rPr>
        <w:t xml:space="preserve">Millions of pensions exposed as Canadian investors fall behind on </w:t>
      </w:r>
    </w:p>
    <w:p w:rsidR="00C9619A" w:rsidRPr="0041113D" w:rsidRDefault="00C35D53" w:rsidP="00C9619A">
      <w:pPr>
        <w:spacing w:after="0" w:line="312" w:lineRule="auto"/>
        <w:jc w:val="center"/>
        <w:rPr>
          <w:b/>
          <w:sz w:val="28"/>
          <w:szCs w:val="28"/>
        </w:rPr>
      </w:pPr>
      <w:proofErr w:type="gramStart"/>
      <w:r w:rsidRPr="0041113D">
        <w:rPr>
          <w:b/>
          <w:sz w:val="28"/>
          <w:szCs w:val="28"/>
        </w:rPr>
        <w:t>climate</w:t>
      </w:r>
      <w:proofErr w:type="gramEnd"/>
      <w:r w:rsidRPr="0041113D">
        <w:rPr>
          <w:b/>
          <w:sz w:val="28"/>
          <w:szCs w:val="28"/>
        </w:rPr>
        <w:t xml:space="preserve"> risk management</w:t>
      </w:r>
    </w:p>
    <w:p w:rsidR="00C9619A" w:rsidRDefault="00C9619A" w:rsidP="00C9619A">
      <w:pPr>
        <w:spacing w:after="0" w:line="312" w:lineRule="auto"/>
      </w:pPr>
    </w:p>
    <w:p w:rsidR="00486667" w:rsidRPr="00486667" w:rsidRDefault="00486667" w:rsidP="00486667">
      <w:pPr>
        <w:spacing w:after="0" w:line="312" w:lineRule="auto"/>
        <w:rPr>
          <w:lang w:val="en-GB"/>
        </w:rPr>
      </w:pPr>
      <w:r w:rsidRPr="00486667">
        <w:rPr>
          <w:b/>
          <w:lang w:val="en-GB"/>
        </w:rPr>
        <w:t>The world is moving rapidly towards a low carbon energy system.</w:t>
      </w:r>
      <w:r w:rsidRPr="00486667">
        <w:rPr>
          <w:lang w:val="en-GB"/>
        </w:rPr>
        <w:t xml:space="preserve"> In Paris in December, 195 countries adopted the first-ever universal, legally binding global climate deal, committing to limit global warming to well below 2 degrees Celsius above pre-industrial levels, with a further goal of working toward a 1.5-degree limit. If this agreement is to succeed it means that up to</w:t>
      </w:r>
      <w:r w:rsidRPr="00486667">
        <w:t xml:space="preserve"> 2050</w:t>
      </w:r>
      <w:r>
        <w:t xml:space="preserve"> </w:t>
      </w:r>
      <w:hyperlink r:id="rId8" w:history="1">
        <w:r w:rsidRPr="00486667">
          <w:rPr>
            <w:rStyle w:val="Hyperlink"/>
          </w:rPr>
          <w:t>approximately</w:t>
        </w:r>
      </w:hyperlink>
      <w:r>
        <w:t xml:space="preserve"> 3</w:t>
      </w:r>
      <w:r w:rsidRPr="00486667">
        <w:t xml:space="preserve">5  percent  of  known  oil reserves,   52   percent   of   gas reserves  and  88  percent  of  coal reserves  are  unburnable. A significant proportion of the oil and gas reserves that will not be burned include oil sands in Canada. Under this scenario, investors should be concerned about asset stranding and protecting portfolio value for beneficiaries. </w:t>
      </w:r>
    </w:p>
    <w:p w:rsidR="00486667" w:rsidRDefault="00486667" w:rsidP="00C35D53">
      <w:pPr>
        <w:spacing w:after="0" w:line="312" w:lineRule="auto"/>
      </w:pPr>
    </w:p>
    <w:p w:rsidR="00A43133" w:rsidRDefault="00C35D53" w:rsidP="00C35D53">
      <w:pPr>
        <w:spacing w:after="0" w:line="312" w:lineRule="auto"/>
      </w:pPr>
      <w:r>
        <w:t>Two fifths of Canada’s biggest investors are in denial about climate change risk as pension funds gamble with the financial security of millions, reveals the annual global bench</w:t>
      </w:r>
      <w:r w:rsidR="005D3666">
        <w:t xml:space="preserve">mark report on the industry </w:t>
      </w:r>
      <w:r w:rsidR="00ED428D">
        <w:t xml:space="preserve">from </w:t>
      </w:r>
      <w:r w:rsidR="00A43133">
        <w:t xml:space="preserve">the </w:t>
      </w:r>
      <w:r w:rsidR="008457B9">
        <w:t>Asset Owners Disclosure Project</w:t>
      </w:r>
      <w:r w:rsidR="00AE02EE">
        <w:t xml:space="preserve"> </w:t>
      </w:r>
      <w:r w:rsidR="008457B9">
        <w:t>(AODP).</w:t>
      </w:r>
    </w:p>
    <w:p w:rsidR="00C35D53" w:rsidRDefault="00C35D53" w:rsidP="00C35D53">
      <w:pPr>
        <w:spacing w:after="0" w:line="312" w:lineRule="auto"/>
      </w:pPr>
    </w:p>
    <w:p w:rsidR="00C35D53" w:rsidRDefault="00C35D53" w:rsidP="00C35D53">
      <w:pPr>
        <w:spacing w:after="0" w:line="312" w:lineRule="auto"/>
      </w:pPr>
      <w:r w:rsidRPr="00111CA6">
        <w:rPr>
          <w:i/>
        </w:rPr>
        <w:t>The Global Climate 500 Index</w:t>
      </w:r>
      <w:r>
        <w:t xml:space="preserve"> finds that 11 </w:t>
      </w:r>
      <w:r w:rsidR="00205477">
        <w:t xml:space="preserve">institutions with funds worth </w:t>
      </w:r>
      <w:r w:rsidR="00C26080">
        <w:t>US</w:t>
      </w:r>
      <w:r>
        <w:t xml:space="preserve">$285 billion, including nine pension funds, have taken no action to mitigate climate change risk to their portfolios despite warnings from </w:t>
      </w:r>
      <w:r w:rsidR="00B90715">
        <w:t>Mark Carney, Governor of the Bank of England and chairman of the international Financial Stability Board</w:t>
      </w:r>
      <w:proofErr w:type="gramStart"/>
      <w:r w:rsidR="00B90715">
        <w:t xml:space="preserve">, </w:t>
      </w:r>
      <w:r>
        <w:t xml:space="preserve"> that</w:t>
      </w:r>
      <w:proofErr w:type="gramEnd"/>
      <w:r>
        <w:t xml:space="preserve"> climate action could leave fossil fuel </w:t>
      </w:r>
      <w:r w:rsidR="001B7C9C">
        <w:t xml:space="preserve">and other high carbon </w:t>
      </w:r>
      <w:r>
        <w:t>investments as worthless stranded assets.</w:t>
      </w:r>
    </w:p>
    <w:p w:rsidR="00C35D53" w:rsidRDefault="00C35D53" w:rsidP="00C35D53">
      <w:pPr>
        <w:spacing w:after="0" w:line="312" w:lineRule="auto"/>
      </w:pPr>
    </w:p>
    <w:p w:rsidR="00C35D53" w:rsidRDefault="00C35D53" w:rsidP="00C35D53">
      <w:pPr>
        <w:spacing w:after="0" w:line="312" w:lineRule="auto"/>
      </w:pPr>
      <w:r>
        <w:t>Canada ranks only 11</w:t>
      </w:r>
      <w:r w:rsidRPr="009D5BF5">
        <w:rPr>
          <w:vertAlign w:val="superscript"/>
        </w:rPr>
        <w:t>th</w:t>
      </w:r>
      <w:r>
        <w:t xml:space="preserve"> in the world for investor action on climate risk, </w:t>
      </w:r>
      <w:r w:rsidR="009D5BF5">
        <w:t xml:space="preserve">lagging </w:t>
      </w:r>
      <w:r>
        <w:t>behind major markets like Australia (3</w:t>
      </w:r>
      <w:r w:rsidRPr="009D5BF5">
        <w:rPr>
          <w:vertAlign w:val="superscript"/>
        </w:rPr>
        <w:t>rd</w:t>
      </w:r>
      <w:r>
        <w:t>), the Netherlands (6</w:t>
      </w:r>
      <w:r w:rsidRPr="009D5BF5">
        <w:rPr>
          <w:vertAlign w:val="superscript"/>
        </w:rPr>
        <w:t>th</w:t>
      </w:r>
      <w:r>
        <w:t>), the UK (7</w:t>
      </w:r>
      <w:r w:rsidRPr="009D5BF5">
        <w:rPr>
          <w:vertAlign w:val="superscript"/>
        </w:rPr>
        <w:t>th</w:t>
      </w:r>
      <w:r>
        <w:t>) and the US (9</w:t>
      </w:r>
      <w:r w:rsidRPr="009D5BF5">
        <w:rPr>
          <w:vertAlign w:val="superscript"/>
        </w:rPr>
        <w:t>th</w:t>
      </w:r>
      <w:r>
        <w:t>)</w:t>
      </w:r>
      <w:r w:rsidR="00205477">
        <w:t>, the report finds.</w:t>
      </w:r>
      <w:r w:rsidR="009D5BF5">
        <w:t xml:space="preserve"> </w:t>
      </w:r>
    </w:p>
    <w:p w:rsidR="00205477" w:rsidRDefault="00205477" w:rsidP="00C35D53">
      <w:pPr>
        <w:spacing w:after="0" w:line="312" w:lineRule="auto"/>
      </w:pPr>
    </w:p>
    <w:p w:rsidR="00205477" w:rsidRDefault="00205477" w:rsidP="00C35D53">
      <w:pPr>
        <w:spacing w:after="0" w:line="312" w:lineRule="auto"/>
      </w:pPr>
      <w:r w:rsidRPr="00205477">
        <w:rPr>
          <w:i/>
        </w:rPr>
        <w:t>The Global Climate 500 Index</w:t>
      </w:r>
      <w:r>
        <w:t xml:space="preserve"> rates the world’s 500 biggest asset owners on how well they are managing climate risk in their portfolios, grading them from AAA to D while those taking no action are rated X. Canada has 26 institutions on the list and the highest-rated, the Ontario Teachers Pension Plan with $131 billion in funds, only achieves a CCC.</w:t>
      </w:r>
    </w:p>
    <w:p w:rsidR="00205477" w:rsidRDefault="00205477" w:rsidP="00C35D53">
      <w:pPr>
        <w:spacing w:after="0" w:line="312" w:lineRule="auto"/>
      </w:pPr>
    </w:p>
    <w:p w:rsidR="00C35D53" w:rsidRDefault="0041113D" w:rsidP="00C35D53">
      <w:pPr>
        <w:spacing w:after="0" w:line="312" w:lineRule="auto"/>
      </w:pPr>
      <w:r>
        <w:t xml:space="preserve">Many Canadian asset managers have been downgraded in this year’s report, which sets a higher bar, requiring more evidence of tangible action. </w:t>
      </w:r>
      <w:proofErr w:type="gramStart"/>
      <w:r>
        <w:t xml:space="preserve">Only </w:t>
      </w:r>
      <w:r w:rsidR="00205477">
        <w:t>four with $368 billion of assets under management rate CC or CCC.</w:t>
      </w:r>
      <w:proofErr w:type="gramEnd"/>
      <w:r w:rsidR="00205477">
        <w:t xml:space="preserve"> </w:t>
      </w:r>
      <w:r w:rsidR="00C35D53">
        <w:t xml:space="preserve">Another 11 institutions with $739 billion </w:t>
      </w:r>
      <w:r w:rsidR="00205477">
        <w:t xml:space="preserve">AUM </w:t>
      </w:r>
      <w:r w:rsidR="00C35D53">
        <w:t xml:space="preserve">recognize climate risk but have taken only the first steps to deal with the problem, </w:t>
      </w:r>
      <w:r w:rsidR="00205477">
        <w:t>receiving a D-rating. These include Canada’s biggest asset owner, the $232 billion insurance company, Manulife Financial.</w:t>
      </w:r>
    </w:p>
    <w:p w:rsidR="00205477" w:rsidRDefault="00205477" w:rsidP="00C35D53">
      <w:pPr>
        <w:spacing w:after="0" w:line="312" w:lineRule="auto"/>
      </w:pPr>
    </w:p>
    <w:p w:rsidR="00205477" w:rsidRDefault="00205477" w:rsidP="00C35D53">
      <w:pPr>
        <w:spacing w:after="0" w:line="312" w:lineRule="auto"/>
      </w:pPr>
      <w:r>
        <w:t xml:space="preserve">The </w:t>
      </w:r>
      <w:r w:rsidR="00C26080">
        <w:t>biggest of the 11 X-rated “laggards” are the $48 billion Quebec Government and Public Employees Retirement Plan and the $45 billion Quebec Teachers Pension Plan.</w:t>
      </w:r>
    </w:p>
    <w:p w:rsidR="00C35D53" w:rsidRDefault="00C35D53" w:rsidP="00C35D53">
      <w:pPr>
        <w:spacing w:after="0" w:line="312" w:lineRule="auto"/>
      </w:pPr>
    </w:p>
    <w:p w:rsidR="00C35D53" w:rsidRDefault="00C26080" w:rsidP="00C35D53">
      <w:pPr>
        <w:spacing w:after="0" w:line="312" w:lineRule="auto"/>
      </w:pPr>
      <w:r>
        <w:t xml:space="preserve">AODP CEO Julian Poulter said: “Justin Trudeau is showing leadership on climate change, after years of drift, but he </w:t>
      </w:r>
      <w:r w:rsidR="009D5BF5">
        <w:t xml:space="preserve">must now make sure Canadian financial institutions act on global warnings about the financial risks it poses. Pension funds and insurers that choose to ignore climate change are gambling with </w:t>
      </w:r>
      <w:r>
        <w:t>the savings and financial s</w:t>
      </w:r>
      <w:r w:rsidR="009D5BF5">
        <w:t>ecurity of millions of people</w:t>
      </w:r>
      <w:r w:rsidR="00D468A2">
        <w:t>.</w:t>
      </w:r>
    </w:p>
    <w:p w:rsidR="00C0399A" w:rsidRDefault="00C0399A" w:rsidP="00C35D53">
      <w:pPr>
        <w:spacing w:after="0" w:line="312" w:lineRule="auto"/>
      </w:pPr>
    </w:p>
    <w:p w:rsidR="00C0399A" w:rsidRDefault="00C0399A" w:rsidP="00C0399A">
      <w:pPr>
        <w:spacing w:after="0" w:line="312" w:lineRule="auto"/>
      </w:pPr>
      <w:r>
        <w:t>“If Canada is to remain an advanced economy at the end of the low carbon transition, it needs to invest in a plan B quickly. Only Canada’s pension funds have sufficient capital to ensure that Mr Trudeau’s policies can be implemented and that Canada emerges as a clean economy leader.”</w:t>
      </w:r>
    </w:p>
    <w:p w:rsidR="004F1E7F" w:rsidRDefault="004F1E7F" w:rsidP="007B568B">
      <w:pPr>
        <w:spacing w:after="0" w:line="312" w:lineRule="auto"/>
      </w:pPr>
    </w:p>
    <w:p w:rsidR="00A04A4C" w:rsidRDefault="00D81704" w:rsidP="00A04A4C">
      <w:pPr>
        <w:spacing w:after="0" w:line="312" w:lineRule="auto"/>
      </w:pPr>
      <w:r>
        <w:t>The independent non-profit AODP rates the world’s 500 biggest investors - pension funds, insurers, sovereign wealth funds, foundations and endowments with $3</w:t>
      </w:r>
      <w:r w:rsidR="00B90715">
        <w:t>8</w:t>
      </w:r>
      <w:r>
        <w:t xml:space="preserve"> trillion of assets under management (AUM) - on their success at managing climate risk within their portfolios, based on direct disclosures and publicly available information. </w:t>
      </w:r>
      <w:r w:rsidR="00A04A4C">
        <w:t xml:space="preserve">This year AODP has raised the bar, requiring evidence of tangible action and </w:t>
      </w:r>
      <w:r w:rsidR="00BF5BB5">
        <w:t xml:space="preserve">no </w:t>
      </w:r>
      <w:r w:rsidR="00A04A4C">
        <w:t xml:space="preserve">longer </w:t>
      </w:r>
      <w:r w:rsidR="00BF5BB5">
        <w:t xml:space="preserve">scores </w:t>
      </w:r>
      <w:r w:rsidR="00A04A4C">
        <w:t>purely for transparency or commitments.</w:t>
      </w:r>
    </w:p>
    <w:p w:rsidR="00D81704" w:rsidRDefault="00D81704" w:rsidP="00D81704">
      <w:pPr>
        <w:spacing w:after="0" w:line="312" w:lineRule="auto"/>
      </w:pPr>
    </w:p>
    <w:p w:rsidR="003C5CB2" w:rsidRDefault="0087622A" w:rsidP="007B568B">
      <w:pPr>
        <w:spacing w:after="0" w:line="312" w:lineRule="auto"/>
      </w:pPr>
      <w:r>
        <w:t>Globally a</w:t>
      </w:r>
      <w:r w:rsidR="00C20AC4">
        <w:t xml:space="preserve"> </w:t>
      </w:r>
      <w:r w:rsidR="003C5CB2">
        <w:t xml:space="preserve">fifth (97) of the world’s 500 biggest investors with $US9.4 trillion </w:t>
      </w:r>
      <w:r w:rsidR="00C20AC4">
        <w:t xml:space="preserve">in funds </w:t>
      </w:r>
      <w:r w:rsidR="003C5CB2">
        <w:t xml:space="preserve">are </w:t>
      </w:r>
      <w:r>
        <w:t xml:space="preserve">now </w:t>
      </w:r>
      <w:r w:rsidR="003C5CB2">
        <w:t>taking tangible action to mitigate climate change risk</w:t>
      </w:r>
      <w:r w:rsidR="00072AEE">
        <w:t>, earning ratings of at least C,</w:t>
      </w:r>
      <w:r w:rsidR="003C5CB2">
        <w:t xml:space="preserve"> and </w:t>
      </w:r>
      <w:r w:rsidR="00C20AC4">
        <w:t xml:space="preserve">last year saw a big rise in support for shareholder resolutions and low carbon investment. Another </w:t>
      </w:r>
      <w:r w:rsidR="003C5CB2">
        <w:t xml:space="preserve">157 worth </w:t>
      </w:r>
      <w:r w:rsidR="00C20AC4">
        <w:t xml:space="preserve">$14 trillion </w:t>
      </w:r>
      <w:r w:rsidR="00072AEE">
        <w:t xml:space="preserve">rated D </w:t>
      </w:r>
      <w:r w:rsidR="003C5CB2">
        <w:t>are taking the first steps</w:t>
      </w:r>
      <w:r w:rsidR="00C20AC4">
        <w:t xml:space="preserve">. </w:t>
      </w:r>
    </w:p>
    <w:p w:rsidR="00893CEE" w:rsidRDefault="00893CEE" w:rsidP="007B568B">
      <w:pPr>
        <w:spacing w:after="0" w:line="312" w:lineRule="auto"/>
      </w:pPr>
    </w:p>
    <w:p w:rsidR="00A5708C" w:rsidRDefault="000F4915" w:rsidP="0021158E">
      <w:pPr>
        <w:spacing w:after="0" w:line="312" w:lineRule="auto"/>
      </w:pPr>
      <w:r>
        <w:t>B</w:t>
      </w:r>
      <w:r w:rsidR="00A43133">
        <w:t xml:space="preserve">ut </w:t>
      </w:r>
      <w:r w:rsidR="0087622A">
        <w:t xml:space="preserve">only 5% of </w:t>
      </w:r>
      <w:r w:rsidR="007E0E6D">
        <w:t xml:space="preserve">investors </w:t>
      </w:r>
      <w:r w:rsidR="0087622A">
        <w:t xml:space="preserve">worldwide </w:t>
      </w:r>
      <w:r w:rsidR="007E0E6D">
        <w:t xml:space="preserve">are acting on warnings </w:t>
      </w:r>
      <w:r w:rsidR="001A31DA">
        <w:t>from the</w:t>
      </w:r>
      <w:r w:rsidR="00BA4E13">
        <w:t xml:space="preserve"> G20</w:t>
      </w:r>
      <w:r w:rsidR="005B45DC">
        <w:t>’</w:t>
      </w:r>
      <w:r w:rsidR="00BA4E13">
        <w:t xml:space="preserve">s </w:t>
      </w:r>
      <w:r w:rsidR="001A31DA">
        <w:t xml:space="preserve">Financial </w:t>
      </w:r>
      <w:r w:rsidR="004921BD">
        <w:t>Stability</w:t>
      </w:r>
      <w:r w:rsidR="001A31DA">
        <w:t xml:space="preserve"> Board </w:t>
      </w:r>
      <w:r w:rsidR="007E0E6D">
        <w:t xml:space="preserve">that climate action could leave </w:t>
      </w:r>
      <w:r w:rsidR="0021158E">
        <w:t xml:space="preserve">fossil fuel </w:t>
      </w:r>
      <w:r w:rsidR="007E0E6D">
        <w:t xml:space="preserve">investments as worthless stranded assets, </w:t>
      </w:r>
      <w:r>
        <w:t>and 246 investors with $14</w:t>
      </w:r>
      <w:r w:rsidR="00B90715">
        <w:t>.3</w:t>
      </w:r>
      <w:r>
        <w:t xml:space="preserve"> trillion in funds </w:t>
      </w:r>
      <w:r w:rsidR="00072AEE">
        <w:t xml:space="preserve">rated X </w:t>
      </w:r>
      <w:r>
        <w:t>are ignoring climate risk completely.</w:t>
      </w:r>
    </w:p>
    <w:p w:rsidR="00A5708C" w:rsidRDefault="00A5708C" w:rsidP="0021158E">
      <w:pPr>
        <w:spacing w:after="0" w:line="312" w:lineRule="auto"/>
      </w:pPr>
    </w:p>
    <w:p w:rsidR="000F4915" w:rsidRDefault="000F4915" w:rsidP="000F4915">
      <w:pPr>
        <w:spacing w:after="0" w:line="312" w:lineRule="auto"/>
      </w:pPr>
      <w:r>
        <w:t xml:space="preserve">Julian Poulter said: “Climate change risk is now a mainstream issue for institutional investors and last year </w:t>
      </w:r>
      <w:r w:rsidRPr="00F02F3B">
        <w:t>has seen many significantly</w:t>
      </w:r>
      <w:r w:rsidR="00BF6025" w:rsidRPr="00F02F3B">
        <w:t xml:space="preserve"> step up their action to manage this</w:t>
      </w:r>
      <w:r w:rsidRPr="00F02F3B">
        <w:t>.</w:t>
      </w:r>
      <w:r>
        <w:t xml:space="preserve"> However, only a handful are protecting their portfolios from the </w:t>
      </w:r>
      <w:r w:rsidR="003F320D">
        <w:t xml:space="preserve">very real danger </w:t>
      </w:r>
      <w:r>
        <w:t xml:space="preserve">of stranded </w:t>
      </w:r>
      <w:r w:rsidR="00ED428D">
        <w:t>asset</w:t>
      </w:r>
      <w:r>
        <w:t>s</w:t>
      </w:r>
      <w:r w:rsidR="003F320D">
        <w:t xml:space="preserve">, </w:t>
      </w:r>
      <w:r>
        <w:t>and it is shocking that nearly half the world’s biggest investors are doing nothing at all to mitigate climate risk</w:t>
      </w:r>
      <w:r w:rsidR="00D81704">
        <w:t>.”</w:t>
      </w:r>
    </w:p>
    <w:p w:rsidR="000F4915" w:rsidRDefault="000F4915" w:rsidP="000F4915">
      <w:pPr>
        <w:spacing w:after="0" w:line="312" w:lineRule="auto"/>
      </w:pPr>
    </w:p>
    <w:p w:rsidR="00F371D9" w:rsidRDefault="00F371D9" w:rsidP="00F371D9">
      <w:pPr>
        <w:spacing w:after="0" w:line="312" w:lineRule="auto"/>
      </w:pPr>
      <w:r>
        <w:t xml:space="preserve">Sweden tops the Country Index, with the most </w:t>
      </w:r>
      <w:r w:rsidR="001630E1">
        <w:t xml:space="preserve">investor action </w:t>
      </w:r>
      <w:r>
        <w:t xml:space="preserve">on climate risk, followed by Norway, with Denmark fifth. France, where the Paris Climate Summit brought climate risk into sharp focus, takes fourth place </w:t>
      </w:r>
      <w:r w:rsidRPr="00F02F3B">
        <w:t>with three funds in the top 20 for the first time.</w:t>
      </w:r>
    </w:p>
    <w:p w:rsidR="00F371D9" w:rsidRDefault="00F371D9" w:rsidP="00F371D9">
      <w:pPr>
        <w:spacing w:after="0" w:line="312" w:lineRule="auto"/>
      </w:pPr>
      <w:bookmarkStart w:id="0" w:name="_GoBack"/>
      <w:bookmarkEnd w:id="0"/>
    </w:p>
    <w:p w:rsidR="00F371D9" w:rsidRDefault="00F371D9" w:rsidP="00F371D9">
      <w:pPr>
        <w:spacing w:after="0" w:line="312" w:lineRule="auto"/>
      </w:pPr>
      <w:r>
        <w:t xml:space="preserve">Pension funds account for nearly two thirds of the </w:t>
      </w:r>
      <w:r w:rsidRPr="00F56A80">
        <w:rPr>
          <w:i/>
        </w:rPr>
        <w:t>Global Climate 500 Index</w:t>
      </w:r>
      <w:r w:rsidRPr="00F02F3B">
        <w:t xml:space="preserve"> </w:t>
      </w:r>
      <w:r w:rsidRPr="002B2202">
        <w:t xml:space="preserve">(322) and insurers nearly a quarter (118). </w:t>
      </w:r>
      <w:r w:rsidR="00D468A2">
        <w:t>O</w:t>
      </w:r>
      <w:r w:rsidRPr="00F02F3B">
        <w:t xml:space="preserve">nly </w:t>
      </w:r>
      <w:r w:rsidR="00D81704">
        <w:t xml:space="preserve">two of </w:t>
      </w:r>
      <w:r w:rsidRPr="00F02F3B">
        <w:t xml:space="preserve">the </w:t>
      </w:r>
      <w:r w:rsidRPr="002B2202">
        <w:t>seven countries that dominate the global</w:t>
      </w:r>
      <w:r w:rsidRPr="00F02F3B">
        <w:t xml:space="preserve"> pensions market</w:t>
      </w:r>
      <w:r w:rsidRPr="002B2202">
        <w:t xml:space="preserve"> </w:t>
      </w:r>
      <w:r w:rsidRPr="002B2202">
        <w:rPr>
          <w:rStyle w:val="FootnoteReference"/>
          <w:rFonts w:cs="Arial"/>
          <w:shd w:val="clear" w:color="auto" w:fill="FFFFFF"/>
        </w:rPr>
        <w:footnoteReference w:id="2"/>
      </w:r>
      <w:r w:rsidRPr="002B2202">
        <w:t xml:space="preserve"> </w:t>
      </w:r>
      <w:r w:rsidR="00D81704">
        <w:t xml:space="preserve">rank behind Canada in the </w:t>
      </w:r>
      <w:r>
        <w:t>Country Index</w:t>
      </w:r>
      <w:r w:rsidR="00D81704">
        <w:t xml:space="preserve">: </w:t>
      </w:r>
      <w:r>
        <w:t>Switzerland 14th and Japan 25th.</w:t>
      </w:r>
    </w:p>
    <w:p w:rsidR="00F371D9" w:rsidRDefault="00F371D9" w:rsidP="00F371D9">
      <w:pPr>
        <w:spacing w:after="0" w:line="312" w:lineRule="auto"/>
      </w:pPr>
    </w:p>
    <w:p w:rsidR="00F371D9" w:rsidRPr="00F56A80" w:rsidRDefault="00F371D9" w:rsidP="00F371D9">
      <w:pPr>
        <w:spacing w:after="0" w:line="312" w:lineRule="auto"/>
        <w:rPr>
          <w:b/>
        </w:rPr>
      </w:pPr>
      <w:r>
        <w:rPr>
          <w:b/>
        </w:rPr>
        <w:t>Climate change moving up the global financial agenda</w:t>
      </w:r>
    </w:p>
    <w:p w:rsidR="00F371D9" w:rsidRDefault="00F371D9" w:rsidP="00F371D9">
      <w:pPr>
        <w:spacing w:after="0" w:line="312" w:lineRule="auto"/>
      </w:pPr>
    </w:p>
    <w:p w:rsidR="00F371D9" w:rsidRDefault="00F371D9" w:rsidP="00F371D9">
      <w:pPr>
        <w:spacing w:after="0" w:line="312" w:lineRule="auto"/>
      </w:pPr>
      <w:r>
        <w:t xml:space="preserve">Climate change has become a central issue for financial markets. </w:t>
      </w:r>
      <w:r w:rsidRPr="008A0974">
        <w:t xml:space="preserve">Mark Carney, </w:t>
      </w:r>
      <w:r w:rsidR="00740B3E">
        <w:t xml:space="preserve">Governor of the Bank of England and </w:t>
      </w:r>
      <w:r w:rsidRPr="008A0974">
        <w:t xml:space="preserve">chairman of the Financial Stability Board, </w:t>
      </w:r>
      <w:r>
        <w:t xml:space="preserve">has warned that </w:t>
      </w:r>
      <w:r w:rsidRPr="008A0974">
        <w:t xml:space="preserve">climate change </w:t>
      </w:r>
      <w:r>
        <w:t xml:space="preserve">action </w:t>
      </w:r>
      <w:r w:rsidRPr="008A0974">
        <w:t xml:space="preserve">could </w:t>
      </w:r>
      <w:r>
        <w:t xml:space="preserve">make huge reserves of coal, oil and gas unburnable stranded assets threatening investors with huge losses and destabilising markets. </w:t>
      </w:r>
      <w:r>
        <w:rPr>
          <w:rStyle w:val="FootnoteReference"/>
        </w:rPr>
        <w:footnoteReference w:id="3"/>
      </w:r>
      <w:r>
        <w:t xml:space="preserve"> </w:t>
      </w:r>
    </w:p>
    <w:p w:rsidR="00F371D9" w:rsidRDefault="00F371D9" w:rsidP="00F371D9">
      <w:pPr>
        <w:spacing w:after="0" w:line="312" w:lineRule="auto"/>
      </w:pPr>
    </w:p>
    <w:p w:rsidR="00F371D9" w:rsidRDefault="00F371D9" w:rsidP="00F371D9">
      <w:pPr>
        <w:spacing w:after="0" w:line="312" w:lineRule="auto"/>
      </w:pPr>
      <w:r>
        <w:t>The FSB has set up a task force led by former New York Mayor Michael Bloomberg to recommend how Asset Owners</w:t>
      </w:r>
      <w:r w:rsidR="00B90715">
        <w:t>, the companies they invest in</w:t>
      </w:r>
      <w:r>
        <w:t xml:space="preserve"> and other financial intermediaries should report the potential impact of climate change on their bottom line</w:t>
      </w:r>
      <w:r w:rsidRPr="008A0974">
        <w:t>.</w:t>
      </w:r>
    </w:p>
    <w:p w:rsidR="00F371D9" w:rsidRDefault="00F371D9" w:rsidP="00F371D9">
      <w:pPr>
        <w:spacing w:after="0" w:line="312" w:lineRule="auto"/>
      </w:pPr>
    </w:p>
    <w:p w:rsidR="00A04A4C" w:rsidRDefault="00A04A4C" w:rsidP="00A04A4C">
      <w:pPr>
        <w:spacing w:after="0" w:line="312" w:lineRule="auto"/>
      </w:pPr>
      <w:r>
        <w:t>Christiana Figueres, Executive Secretary of the UN Framework Convention on Climate Change (UNFCCC), said: “The Paris Agreement has set out the path, direction and ultimate destination for the global economy. Increasing numbers of asset owners understand this and more are coming to that realization. I would encourage all of them to pick up the pace and ramp up their ambition in respect to a low carbon transition—it is the key to reducing risk and securing the health of their portfolios now and over the long term”.</w:t>
      </w:r>
    </w:p>
    <w:p w:rsidR="00A04A4C" w:rsidRDefault="00A04A4C" w:rsidP="00F371D9">
      <w:pPr>
        <w:spacing w:after="0" w:line="312" w:lineRule="auto"/>
        <w:rPr>
          <w:highlight w:val="yellow"/>
        </w:rPr>
      </w:pPr>
    </w:p>
    <w:p w:rsidR="00BF5BB5" w:rsidRDefault="00F371D9" w:rsidP="00BF5BB5">
      <w:pPr>
        <w:spacing w:after="0" w:line="312" w:lineRule="auto"/>
      </w:pPr>
      <w:r>
        <w:t xml:space="preserve">Investors that recognise climate risk are taking significantly more action than last year, the AODP report reveals. The global leaders, rated A to AAA, have grown 29% from 24 to 31 investors with $2.7 trillion AUM.  </w:t>
      </w:r>
      <w:r w:rsidR="00BF5BB5">
        <w:t>On average the 12 AAA-rated institutions have outperformed the benchmark return over five years, demonstrating that climate risk can be managed without sacrificing returns.</w:t>
      </w:r>
    </w:p>
    <w:p w:rsidR="00F371D9" w:rsidRDefault="00F371D9" w:rsidP="00F371D9">
      <w:pPr>
        <w:spacing w:after="0" w:line="312" w:lineRule="auto"/>
      </w:pPr>
    </w:p>
    <w:p w:rsidR="001630E1" w:rsidRDefault="00F371D9" w:rsidP="00F371D9">
      <w:pPr>
        <w:spacing w:after="0" w:line="312" w:lineRule="auto"/>
      </w:pPr>
      <w:r w:rsidRPr="005B45DC">
        <w:t xml:space="preserve">But the </w:t>
      </w:r>
      <w:r>
        <w:t xml:space="preserve">biggest </w:t>
      </w:r>
      <w:r w:rsidRPr="005B45DC">
        <w:t xml:space="preserve">increase </w:t>
      </w:r>
      <w:r>
        <w:t xml:space="preserve">at a global level </w:t>
      </w:r>
      <w:r w:rsidRPr="005B45DC">
        <w:t xml:space="preserve">has been </w:t>
      </w:r>
      <w:r>
        <w:t xml:space="preserve">in asset owners still developing their climate risk strategy, with a </w:t>
      </w:r>
      <w:r w:rsidRPr="005B45DC">
        <w:t xml:space="preserve">52% rise in </w:t>
      </w:r>
      <w:r>
        <w:t xml:space="preserve">those </w:t>
      </w:r>
      <w:r w:rsidRPr="005B45DC">
        <w:t xml:space="preserve">rated </w:t>
      </w:r>
      <w:r>
        <w:t xml:space="preserve">C to </w:t>
      </w:r>
      <w:r w:rsidRPr="005B45DC">
        <w:t xml:space="preserve">CCC, from 27 to 41 with $3.4 trillion AUM. There are now 97 investors rated C or above with $9.4 trillion AUM, </w:t>
      </w:r>
      <w:r>
        <w:t xml:space="preserve">up from 77, </w:t>
      </w:r>
      <w:r w:rsidRPr="005B45DC">
        <w:t>while the</w:t>
      </w:r>
      <w:r>
        <w:t xml:space="preserve"> D group taking the first steps has shrunk from 191 to 157 with $14 trillion AUM.</w:t>
      </w:r>
    </w:p>
    <w:p w:rsidR="001630E1" w:rsidRDefault="001630E1" w:rsidP="00F371D9">
      <w:pPr>
        <w:spacing w:after="0" w:line="312" w:lineRule="auto"/>
      </w:pPr>
    </w:p>
    <w:p w:rsidR="00F371D9" w:rsidRDefault="001630E1" w:rsidP="00F371D9">
      <w:pPr>
        <w:spacing w:after="0" w:line="312" w:lineRule="auto"/>
      </w:pPr>
      <w:r>
        <w:t>T</w:t>
      </w:r>
      <w:r w:rsidR="00F371D9">
        <w:t>he number of X-rated laggards has grown from 232 in 2015 to 246 with $14</w:t>
      </w:r>
      <w:r w:rsidR="00B90715">
        <w:t>.3</w:t>
      </w:r>
      <w:r w:rsidR="00F371D9">
        <w:t xml:space="preserve"> trillion AUM. The 10 biggest X-rated funds, worth a total $4.9 trillion, include sovereign wealth funds in the oil states of Abu Dhabi, Kuwait, Saudi Arabia and Qatar as well as China and Hong Kong, insurance companies China Life, Japan Post and Zenkyoren of Japan, and </w:t>
      </w:r>
      <w:r>
        <w:t xml:space="preserve">the US pension fund </w:t>
      </w:r>
      <w:r w:rsidR="00F371D9">
        <w:t>Thrift Savings Plan.</w:t>
      </w:r>
    </w:p>
    <w:p w:rsidR="00BF5BB5" w:rsidRDefault="00BF5BB5" w:rsidP="00F371D9">
      <w:pPr>
        <w:spacing w:after="0" w:line="312" w:lineRule="auto"/>
      </w:pPr>
    </w:p>
    <w:p w:rsidR="00F371D9" w:rsidRPr="00ED428D" w:rsidRDefault="00F371D9" w:rsidP="00F371D9">
      <w:pPr>
        <w:spacing w:after="0" w:line="312" w:lineRule="auto"/>
        <w:rPr>
          <w:b/>
        </w:rPr>
      </w:pPr>
      <w:r w:rsidRPr="00ED428D">
        <w:rPr>
          <w:b/>
        </w:rPr>
        <w:t>Three key strategies for managing climate risk</w:t>
      </w:r>
    </w:p>
    <w:p w:rsidR="00F371D9" w:rsidRDefault="00F371D9" w:rsidP="00F371D9">
      <w:pPr>
        <w:spacing w:after="0" w:line="312" w:lineRule="auto"/>
      </w:pPr>
    </w:p>
    <w:p w:rsidR="00F371D9" w:rsidRDefault="00F371D9" w:rsidP="00F371D9">
      <w:pPr>
        <w:spacing w:after="0" w:line="312" w:lineRule="auto"/>
      </w:pPr>
      <w:r>
        <w:t>The Global Climate 500 Index is the world standard for assessing the success of asset owners at managing climate risk. It evaluates them on three approaches: tackling risks associated with high-carbon assets in their portfolios; engaging with the companies they own and with stakeholders throughout the investment chain to reduce climate risk; and investing in low-carbon assets.</w:t>
      </w:r>
    </w:p>
    <w:p w:rsidR="00F371D9" w:rsidRDefault="00F371D9" w:rsidP="00F371D9">
      <w:pPr>
        <w:spacing w:after="0" w:line="312" w:lineRule="auto"/>
      </w:pPr>
    </w:p>
    <w:p w:rsidR="00F371D9" w:rsidRPr="0088732D" w:rsidRDefault="00F371D9" w:rsidP="00F371D9">
      <w:pPr>
        <w:spacing w:after="0" w:line="312" w:lineRule="auto"/>
        <w:rPr>
          <w:b/>
        </w:rPr>
      </w:pPr>
      <w:r w:rsidRPr="0088732D">
        <w:rPr>
          <w:b/>
        </w:rPr>
        <w:t>Risk management</w:t>
      </w:r>
    </w:p>
    <w:p w:rsidR="00F371D9" w:rsidRDefault="00F371D9" w:rsidP="00F371D9">
      <w:pPr>
        <w:pStyle w:val="ListParagraph"/>
        <w:numPr>
          <w:ilvl w:val="0"/>
          <w:numId w:val="5"/>
        </w:numPr>
        <w:spacing w:after="0" w:line="312" w:lineRule="auto"/>
      </w:pPr>
      <w:r>
        <w:t>10% of asset owners and 74% of the leaders group (rated A to AAA) are measuring carbon in their portfolios, up from 7% and 67% last year. However, only 2% of asset owners have declared a target for reducing portfolio carbon next year.</w:t>
      </w:r>
    </w:p>
    <w:p w:rsidR="00F371D9" w:rsidRPr="00F02F3B" w:rsidRDefault="00F371D9" w:rsidP="00F371D9">
      <w:pPr>
        <w:pStyle w:val="ListParagraph"/>
        <w:numPr>
          <w:ilvl w:val="0"/>
          <w:numId w:val="5"/>
        </w:numPr>
        <w:spacing w:after="0" w:line="312" w:lineRule="auto"/>
      </w:pPr>
      <w:r w:rsidRPr="00F02F3B">
        <w:t xml:space="preserve">Just 5% of asset owners and only half the leaders disclose that they are measuring the impact that stranded assets may have on their investments – </w:t>
      </w:r>
      <w:r>
        <w:t xml:space="preserve">although this is an improvement on the 3% </w:t>
      </w:r>
      <w:r w:rsidRPr="00F02F3B">
        <w:t>last year. This indicates that more complex risk management activities are often the last to be implemented.</w:t>
      </w:r>
    </w:p>
    <w:p w:rsidR="00F371D9" w:rsidRDefault="00F371D9" w:rsidP="00F371D9">
      <w:pPr>
        <w:spacing w:after="0" w:line="312" w:lineRule="auto"/>
      </w:pPr>
    </w:p>
    <w:p w:rsidR="00F371D9" w:rsidRPr="0088732D" w:rsidRDefault="00F371D9" w:rsidP="00F371D9">
      <w:pPr>
        <w:spacing w:after="0" w:line="312" w:lineRule="auto"/>
        <w:rPr>
          <w:b/>
        </w:rPr>
      </w:pPr>
      <w:r w:rsidRPr="0088732D">
        <w:rPr>
          <w:b/>
        </w:rPr>
        <w:t>Engagement</w:t>
      </w:r>
    </w:p>
    <w:p w:rsidR="00F371D9" w:rsidRDefault="00F371D9" w:rsidP="00F371D9">
      <w:pPr>
        <w:pStyle w:val="ListParagraph"/>
        <w:numPr>
          <w:ilvl w:val="0"/>
          <w:numId w:val="6"/>
        </w:numPr>
        <w:spacing w:after="0" w:line="312" w:lineRule="auto"/>
      </w:pPr>
      <w:r>
        <w:t>13% of asset owners and 97% of leaders now have staff dedicated to integrating climate risk management into the investment process, up from 9% and 79% last year.</w:t>
      </w:r>
    </w:p>
    <w:p w:rsidR="00F371D9" w:rsidRDefault="00F371D9" w:rsidP="00F371D9">
      <w:pPr>
        <w:pStyle w:val="ListParagraph"/>
        <w:numPr>
          <w:ilvl w:val="0"/>
          <w:numId w:val="6"/>
        </w:numPr>
        <w:spacing w:after="0" w:line="312" w:lineRule="auto"/>
      </w:pPr>
      <w:r>
        <w:t>Support for shareholder resolutions on climate change has grown strongly, with 12% of investors voting in favour of at least one, compared with 7% last year. Among leaders support grew from 67% to 84%.</w:t>
      </w:r>
    </w:p>
    <w:p w:rsidR="00F371D9" w:rsidRDefault="00F371D9" w:rsidP="00F371D9">
      <w:pPr>
        <w:pStyle w:val="ListParagraph"/>
        <w:spacing w:after="0" w:line="312" w:lineRule="auto"/>
        <w:ind w:left="360"/>
      </w:pPr>
    </w:p>
    <w:p w:rsidR="00F371D9" w:rsidRPr="0088732D" w:rsidRDefault="00F371D9" w:rsidP="00F371D9">
      <w:pPr>
        <w:spacing w:after="0" w:line="312" w:lineRule="auto"/>
        <w:rPr>
          <w:b/>
        </w:rPr>
      </w:pPr>
      <w:r w:rsidRPr="0088732D">
        <w:rPr>
          <w:b/>
        </w:rPr>
        <w:t>Low Carbon Investment</w:t>
      </w:r>
    </w:p>
    <w:p w:rsidR="00F371D9" w:rsidRDefault="00F371D9" w:rsidP="00F371D9">
      <w:pPr>
        <w:pStyle w:val="ListParagraph"/>
        <w:numPr>
          <w:ilvl w:val="0"/>
          <w:numId w:val="7"/>
        </w:numPr>
        <w:spacing w:after="0" w:line="312" w:lineRule="auto"/>
      </w:pPr>
      <w:r>
        <w:t>Low carbon investment grew 63% from $85 billion to $138 billion. General lack of disclosure and difficulties defining low carbon assets mean this is likely to be an underestimate but funds are working to define this better for next year.</w:t>
      </w:r>
    </w:p>
    <w:p w:rsidR="00F371D9" w:rsidRDefault="00F371D9" w:rsidP="00F371D9">
      <w:pPr>
        <w:pStyle w:val="ListParagraph"/>
        <w:numPr>
          <w:ilvl w:val="0"/>
          <w:numId w:val="7"/>
        </w:numPr>
        <w:spacing w:after="0" w:line="312" w:lineRule="auto"/>
      </w:pPr>
      <w:r>
        <w:t xml:space="preserve">The Netherlands is the most active country by far with $39 billion invested in low carbon, 3.4% of AUM. </w:t>
      </w:r>
      <w:r w:rsidR="00D468A2">
        <w:t xml:space="preserve">Canadian </w:t>
      </w:r>
      <w:r w:rsidR="001630E1">
        <w:t>asset owners have invested $</w:t>
      </w:r>
      <w:r w:rsidR="00D468A2">
        <w:t>3</w:t>
      </w:r>
      <w:r w:rsidR="001630E1">
        <w:t xml:space="preserve"> billion, just 0.2</w:t>
      </w:r>
      <w:r>
        <w:t xml:space="preserve">% of </w:t>
      </w:r>
      <w:r w:rsidR="001630E1">
        <w:t xml:space="preserve">their </w:t>
      </w:r>
      <w:r>
        <w:t>total AUM</w:t>
      </w:r>
      <w:r w:rsidR="001630E1">
        <w:t xml:space="preserve"> and below the Index average of 0.5% AUM</w:t>
      </w:r>
      <w:r>
        <w:t>.</w:t>
      </w:r>
    </w:p>
    <w:p w:rsidR="00F371D9" w:rsidRDefault="00F371D9" w:rsidP="00F371D9">
      <w:pPr>
        <w:spacing w:after="0" w:line="312" w:lineRule="auto"/>
      </w:pPr>
    </w:p>
    <w:p w:rsidR="00F371D9" w:rsidRDefault="00F371D9" w:rsidP="00F371D9">
      <w:pPr>
        <w:spacing w:after="0" w:line="312" w:lineRule="auto"/>
      </w:pPr>
      <w:r w:rsidRPr="0065127E">
        <w:t>ENDS</w:t>
      </w:r>
    </w:p>
    <w:p w:rsidR="000E6A3D" w:rsidRDefault="000E6A3D" w:rsidP="007B568B">
      <w:pPr>
        <w:spacing w:after="0" w:line="312" w:lineRule="auto"/>
        <w:rPr>
          <w:rFonts w:ascii="Calibri" w:hAnsi="Calibri" w:cs="Arial"/>
        </w:rPr>
      </w:pPr>
      <w:r w:rsidRPr="00FF5023">
        <w:rPr>
          <w:rFonts w:ascii="Calibri" w:hAnsi="Calibri" w:cs="Arial"/>
        </w:rPr>
        <w:t>For more information and to arrange interviews, please contact:</w:t>
      </w:r>
    </w:p>
    <w:p w:rsidR="000E6A3D" w:rsidRDefault="000E6A3D" w:rsidP="007B568B">
      <w:pPr>
        <w:spacing w:after="0" w:line="312" w:lineRule="auto"/>
        <w:rPr>
          <w:rFonts w:ascii="Calibri" w:hAnsi="Calibri" w:cs="Arial"/>
        </w:rPr>
      </w:pPr>
      <w:r w:rsidRPr="00FF5023">
        <w:rPr>
          <w:rFonts w:ascii="Calibri" w:hAnsi="Calibri" w:cs="Arial"/>
        </w:rPr>
        <w:t>David Mason</w:t>
      </w:r>
      <w:r w:rsidRPr="00FF5023">
        <w:rPr>
          <w:rFonts w:ascii="Calibri" w:hAnsi="Calibri" w:cs="Arial"/>
        </w:rPr>
        <w:tab/>
      </w:r>
      <w:r w:rsidRPr="00FF5023">
        <w:rPr>
          <w:rFonts w:ascii="Calibri" w:hAnsi="Calibri" w:cs="Arial"/>
        </w:rPr>
        <w:tab/>
      </w:r>
      <w:hyperlink r:id="rId9" w:history="1">
        <w:r w:rsidRPr="00FF5023">
          <w:rPr>
            <w:rStyle w:val="Hyperlink"/>
            <w:rFonts w:ascii="Calibri" w:hAnsi="Calibri" w:cs="Arial"/>
          </w:rPr>
          <w:t>david.mason@greenhousepr.co.uk</w:t>
        </w:r>
      </w:hyperlink>
      <w:r w:rsidRPr="00FF5023">
        <w:rPr>
          <w:rFonts w:ascii="Calibri" w:hAnsi="Calibri" w:cs="Arial"/>
        </w:rPr>
        <w:tab/>
      </w:r>
      <w:r w:rsidRPr="00FF5023">
        <w:rPr>
          <w:rFonts w:ascii="Calibri" w:hAnsi="Calibri" w:cs="Arial"/>
        </w:rPr>
        <w:tab/>
      </w:r>
      <w:r w:rsidRPr="00FF5023">
        <w:rPr>
          <w:rFonts w:ascii="Calibri" w:hAnsi="Calibri" w:cs="Arial"/>
        </w:rPr>
        <w:tab/>
        <w:t>07799 072320</w:t>
      </w:r>
    </w:p>
    <w:p w:rsidR="00586262" w:rsidRDefault="00586262" w:rsidP="00586262">
      <w:pPr>
        <w:spacing w:after="0" w:line="312" w:lineRule="auto"/>
        <w:rPr>
          <w:rFonts w:ascii="Calibri" w:hAnsi="Calibri" w:cs="Arial"/>
        </w:rPr>
      </w:pPr>
      <w:r>
        <w:rPr>
          <w:rFonts w:ascii="Calibri" w:hAnsi="Calibri" w:cs="Arial"/>
        </w:rPr>
        <w:t>Bethan Halls</w:t>
      </w:r>
      <w:r>
        <w:rPr>
          <w:rFonts w:ascii="Calibri" w:hAnsi="Calibri" w:cs="Arial"/>
        </w:rPr>
        <w:tab/>
      </w:r>
      <w:r>
        <w:rPr>
          <w:rFonts w:ascii="Calibri" w:hAnsi="Calibri" w:cs="Arial"/>
        </w:rPr>
        <w:tab/>
      </w:r>
      <w:hyperlink r:id="rId10" w:history="1">
        <w:r w:rsidRPr="00E67CF5">
          <w:rPr>
            <w:rStyle w:val="Hyperlink"/>
            <w:rFonts w:ascii="Calibri" w:hAnsi="Calibri" w:cs="Arial"/>
          </w:rPr>
          <w:t>bethan.halls@greenhousepr.co.uk</w:t>
        </w:r>
      </w:hyperlink>
      <w:r>
        <w:rPr>
          <w:rFonts w:ascii="Calibri" w:hAnsi="Calibri" w:cs="Arial"/>
        </w:rPr>
        <w:tab/>
      </w:r>
      <w:r>
        <w:rPr>
          <w:rFonts w:ascii="Calibri" w:hAnsi="Calibri" w:cs="Arial"/>
        </w:rPr>
        <w:tab/>
      </w:r>
      <w:r>
        <w:rPr>
          <w:rFonts w:ascii="Calibri" w:hAnsi="Calibri" w:cs="Arial"/>
        </w:rPr>
        <w:tab/>
        <w:t>07908 683690</w:t>
      </w:r>
    </w:p>
    <w:p w:rsidR="000E6A3D" w:rsidRDefault="000E6A3D" w:rsidP="007B568B">
      <w:pPr>
        <w:spacing w:after="0" w:line="312" w:lineRule="auto"/>
        <w:rPr>
          <w:rFonts w:ascii="Calibri" w:hAnsi="Calibri"/>
        </w:rPr>
      </w:pPr>
    </w:p>
    <w:p w:rsidR="00BF5BB5" w:rsidRPr="00FF5023" w:rsidRDefault="00BF5BB5" w:rsidP="007B568B">
      <w:pPr>
        <w:spacing w:after="0" w:line="312" w:lineRule="auto"/>
        <w:rPr>
          <w:rFonts w:ascii="Calibri" w:hAnsi="Calibri"/>
        </w:rPr>
      </w:pPr>
    </w:p>
    <w:p w:rsidR="000E6A3D" w:rsidRPr="00BA58DD" w:rsidRDefault="000E6A3D" w:rsidP="007B568B">
      <w:pPr>
        <w:spacing w:after="0" w:line="312" w:lineRule="auto"/>
        <w:rPr>
          <w:b/>
        </w:rPr>
      </w:pPr>
      <w:r w:rsidRPr="00BA58DD">
        <w:rPr>
          <w:b/>
        </w:rPr>
        <w:t>Notes to editors</w:t>
      </w:r>
    </w:p>
    <w:p w:rsidR="000E6A3D" w:rsidRDefault="000E6A3D" w:rsidP="007B568B">
      <w:pPr>
        <w:spacing w:after="0" w:line="312" w:lineRule="auto"/>
        <w:rPr>
          <w:rStyle w:val="Hyperlink"/>
        </w:rPr>
      </w:pPr>
      <w:r w:rsidRPr="00BA58DD">
        <w:rPr>
          <w:rFonts w:cs="Arial"/>
          <w:shd w:val="clear" w:color="auto" w:fill="FFFFFF"/>
        </w:rPr>
        <w:t xml:space="preserve">The </w:t>
      </w:r>
      <w:r w:rsidRPr="00BA58DD">
        <w:rPr>
          <w:rFonts w:cs="Arial"/>
          <w:b/>
          <w:shd w:val="clear" w:color="auto" w:fill="FFFFFF"/>
        </w:rPr>
        <w:t>Asset Owners Disclosure Project</w:t>
      </w:r>
      <w:r w:rsidRPr="00BA58DD">
        <w:rPr>
          <w:rFonts w:cs="Arial"/>
          <w:shd w:val="clear" w:color="auto" w:fill="FFFFFF"/>
        </w:rPr>
        <w:t xml:space="preserve"> is an independent not-for-profit global organisation whose objective is to protect retirement savings and other </w:t>
      </w:r>
      <w:proofErr w:type="gramStart"/>
      <w:r w:rsidRPr="00BA58DD">
        <w:rPr>
          <w:rFonts w:cs="Arial"/>
          <w:shd w:val="clear" w:color="auto" w:fill="FFFFFF"/>
        </w:rPr>
        <w:t>long term</w:t>
      </w:r>
      <w:proofErr w:type="gramEnd"/>
      <w:r w:rsidRPr="00BA58DD">
        <w:rPr>
          <w:rFonts w:cs="Arial"/>
          <w:shd w:val="clear" w:color="auto" w:fill="FFFFFF"/>
        </w:rPr>
        <w:t xml:space="preserve"> investments from the risks posed by climate change by improving disclosure and industry best practice.</w:t>
      </w:r>
      <w:r>
        <w:rPr>
          <w:rFonts w:cs="Arial"/>
          <w:shd w:val="clear" w:color="auto" w:fill="FFFFFF"/>
        </w:rPr>
        <w:t xml:space="preserve"> </w:t>
      </w:r>
      <w:hyperlink r:id="rId11" w:history="1">
        <w:r w:rsidR="002339AA" w:rsidRPr="008D339A">
          <w:rPr>
            <w:rStyle w:val="Hyperlink"/>
            <w:rFonts w:cs="Arial"/>
            <w:shd w:val="clear" w:color="auto" w:fill="FFFFFF"/>
          </w:rPr>
          <w:t>www.aodproject.net</w:t>
        </w:r>
      </w:hyperlink>
    </w:p>
    <w:p w:rsidR="00D468A2" w:rsidRDefault="00D468A2" w:rsidP="007B568B">
      <w:pPr>
        <w:spacing w:after="0" w:line="312" w:lineRule="auto"/>
        <w:rPr>
          <w:rStyle w:val="Hyperlink"/>
        </w:rPr>
      </w:pPr>
    </w:p>
    <w:p w:rsidR="0041113D" w:rsidRDefault="0041113D" w:rsidP="00BA724C">
      <w:pPr>
        <w:spacing w:after="0" w:line="312" w:lineRule="auto"/>
        <w:rPr>
          <w:rFonts w:cs="Arial"/>
          <w:b/>
          <w:shd w:val="clear" w:color="auto" w:fill="FFFFFF"/>
        </w:rPr>
      </w:pPr>
    </w:p>
    <w:p w:rsidR="00BA724C" w:rsidRPr="00A05562" w:rsidRDefault="00BA724C" w:rsidP="00BA724C">
      <w:pPr>
        <w:spacing w:after="0" w:line="312" w:lineRule="auto"/>
        <w:rPr>
          <w:rFonts w:cs="Arial"/>
          <w:b/>
          <w:shd w:val="clear" w:color="auto" w:fill="FFFFFF"/>
        </w:rPr>
      </w:pPr>
      <w:r w:rsidRPr="00A05562">
        <w:rPr>
          <w:rFonts w:cs="Arial"/>
          <w:b/>
          <w:shd w:val="clear" w:color="auto" w:fill="FFFFFF"/>
        </w:rPr>
        <w:t xml:space="preserve">Top </w:t>
      </w:r>
      <w:r w:rsidR="00D468A2">
        <w:rPr>
          <w:rFonts w:cs="Arial"/>
          <w:b/>
          <w:shd w:val="clear" w:color="auto" w:fill="FFFFFF"/>
        </w:rPr>
        <w:t xml:space="preserve">4 Canadian </w:t>
      </w:r>
      <w:r w:rsidRPr="00A05562">
        <w:rPr>
          <w:rFonts w:cs="Arial"/>
          <w:b/>
          <w:shd w:val="clear" w:color="auto" w:fill="FFFFFF"/>
        </w:rPr>
        <w:t>asset owners</w:t>
      </w:r>
    </w:p>
    <w:tbl>
      <w:tblPr>
        <w:tblStyle w:val="TableGrid"/>
        <w:tblW w:w="10201" w:type="dxa"/>
        <w:tblLook w:val="04A0"/>
      </w:tblPr>
      <w:tblGrid>
        <w:gridCol w:w="756"/>
        <w:gridCol w:w="5421"/>
        <w:gridCol w:w="748"/>
        <w:gridCol w:w="821"/>
        <w:gridCol w:w="875"/>
        <w:gridCol w:w="1580"/>
      </w:tblGrid>
      <w:tr w:rsidR="00BA724C">
        <w:trPr>
          <w:trHeight w:val="478"/>
        </w:trPr>
        <w:tc>
          <w:tcPr>
            <w:tcW w:w="756" w:type="dxa"/>
          </w:tcPr>
          <w:p w:rsidR="00BA724C" w:rsidRPr="001E54DC" w:rsidRDefault="00BA724C" w:rsidP="00BA724C">
            <w:pPr>
              <w:spacing w:line="312" w:lineRule="auto"/>
              <w:rPr>
                <w:rFonts w:cs="Arial"/>
                <w:b/>
                <w:sz w:val="20"/>
                <w:szCs w:val="20"/>
                <w:shd w:val="clear" w:color="auto" w:fill="FFFFFF"/>
              </w:rPr>
            </w:pPr>
            <w:r>
              <w:rPr>
                <w:rFonts w:cs="Arial"/>
                <w:b/>
                <w:sz w:val="20"/>
                <w:szCs w:val="20"/>
                <w:shd w:val="clear" w:color="auto" w:fill="FFFFFF"/>
              </w:rPr>
              <w:t>Global Rank</w:t>
            </w:r>
          </w:p>
        </w:tc>
        <w:tc>
          <w:tcPr>
            <w:tcW w:w="5421" w:type="dxa"/>
          </w:tcPr>
          <w:p w:rsidR="00BA724C" w:rsidRPr="001E54DC" w:rsidRDefault="00BA724C" w:rsidP="00BA724C">
            <w:pPr>
              <w:spacing w:line="312" w:lineRule="auto"/>
              <w:rPr>
                <w:rFonts w:cs="Arial"/>
                <w:b/>
                <w:sz w:val="20"/>
                <w:szCs w:val="20"/>
                <w:shd w:val="clear" w:color="auto" w:fill="FFFFFF"/>
              </w:rPr>
            </w:pPr>
            <w:r w:rsidRPr="001E54DC">
              <w:rPr>
                <w:rFonts w:cs="Arial"/>
                <w:b/>
                <w:sz w:val="20"/>
                <w:szCs w:val="20"/>
                <w:shd w:val="clear" w:color="auto" w:fill="FFFFFF"/>
              </w:rPr>
              <w:t>Asset Owner</w:t>
            </w:r>
          </w:p>
        </w:tc>
        <w:tc>
          <w:tcPr>
            <w:tcW w:w="748" w:type="dxa"/>
          </w:tcPr>
          <w:p w:rsidR="00BA724C" w:rsidRPr="001E54DC" w:rsidRDefault="00BA724C" w:rsidP="00BA724C">
            <w:pPr>
              <w:jc w:val="center"/>
              <w:rPr>
                <w:rFonts w:cs="Arial"/>
                <w:b/>
                <w:sz w:val="20"/>
                <w:szCs w:val="20"/>
                <w:shd w:val="clear" w:color="auto" w:fill="FFFFFF"/>
              </w:rPr>
            </w:pPr>
            <w:r w:rsidRPr="001E54DC">
              <w:rPr>
                <w:rFonts w:cs="Arial"/>
                <w:b/>
                <w:sz w:val="20"/>
                <w:szCs w:val="20"/>
                <w:shd w:val="clear" w:color="auto" w:fill="FFFFFF"/>
              </w:rPr>
              <w:t>2016 Rating</w:t>
            </w:r>
          </w:p>
        </w:tc>
        <w:tc>
          <w:tcPr>
            <w:tcW w:w="821" w:type="dxa"/>
          </w:tcPr>
          <w:p w:rsidR="00BA724C" w:rsidRPr="001E54DC" w:rsidRDefault="00BA724C" w:rsidP="00BA724C">
            <w:pPr>
              <w:jc w:val="center"/>
              <w:rPr>
                <w:rFonts w:cs="Arial"/>
                <w:b/>
                <w:sz w:val="20"/>
                <w:szCs w:val="20"/>
                <w:shd w:val="clear" w:color="auto" w:fill="FFFFFF"/>
              </w:rPr>
            </w:pPr>
            <w:r w:rsidRPr="001E54DC">
              <w:rPr>
                <w:rFonts w:cs="Arial"/>
                <w:b/>
                <w:sz w:val="20"/>
                <w:szCs w:val="20"/>
                <w:shd w:val="clear" w:color="auto" w:fill="FFFFFF"/>
              </w:rPr>
              <w:t>2015 Rating</w:t>
            </w:r>
          </w:p>
        </w:tc>
        <w:tc>
          <w:tcPr>
            <w:tcW w:w="875" w:type="dxa"/>
          </w:tcPr>
          <w:p w:rsidR="00BA724C" w:rsidRPr="001E54DC" w:rsidRDefault="00BA724C" w:rsidP="00BA724C">
            <w:pPr>
              <w:jc w:val="center"/>
              <w:rPr>
                <w:rFonts w:cs="Arial"/>
                <w:b/>
                <w:sz w:val="20"/>
                <w:szCs w:val="20"/>
                <w:shd w:val="clear" w:color="auto" w:fill="FFFFFF"/>
              </w:rPr>
            </w:pPr>
            <w:r>
              <w:rPr>
                <w:rFonts w:cs="Arial"/>
                <w:b/>
                <w:sz w:val="20"/>
                <w:szCs w:val="20"/>
                <w:shd w:val="clear" w:color="auto" w:fill="FFFFFF"/>
              </w:rPr>
              <w:t>AUM US$M</w:t>
            </w:r>
            <w:r w:rsidRPr="001E54DC">
              <w:rPr>
                <w:rFonts w:cs="Arial"/>
                <w:b/>
                <w:sz w:val="20"/>
                <w:szCs w:val="20"/>
                <w:shd w:val="clear" w:color="auto" w:fill="FFFFFF"/>
              </w:rPr>
              <w:t>ln</w:t>
            </w:r>
          </w:p>
        </w:tc>
        <w:tc>
          <w:tcPr>
            <w:tcW w:w="1580" w:type="dxa"/>
          </w:tcPr>
          <w:p w:rsidR="00BA724C" w:rsidRPr="001E54DC" w:rsidRDefault="00BA724C" w:rsidP="00BA724C">
            <w:pPr>
              <w:jc w:val="center"/>
              <w:rPr>
                <w:rFonts w:cs="Arial"/>
                <w:b/>
                <w:sz w:val="20"/>
                <w:szCs w:val="20"/>
                <w:shd w:val="clear" w:color="auto" w:fill="FFFFFF"/>
              </w:rPr>
            </w:pPr>
            <w:r w:rsidRPr="001E54DC">
              <w:rPr>
                <w:rFonts w:cs="Arial"/>
                <w:b/>
                <w:sz w:val="20"/>
                <w:szCs w:val="20"/>
                <w:shd w:val="clear" w:color="auto" w:fill="FFFFFF"/>
              </w:rPr>
              <w:t>Type</w:t>
            </w:r>
          </w:p>
        </w:tc>
      </w:tr>
      <w:tr w:rsidR="00BA724C">
        <w:tc>
          <w:tcPr>
            <w:tcW w:w="756" w:type="dxa"/>
          </w:tcPr>
          <w:p w:rsidR="00BA724C" w:rsidRPr="00A05562" w:rsidRDefault="00D468A2" w:rsidP="00BA724C">
            <w:pPr>
              <w:spacing w:line="312" w:lineRule="auto"/>
              <w:rPr>
                <w:rFonts w:cs="Arial"/>
                <w:sz w:val="20"/>
                <w:szCs w:val="20"/>
                <w:shd w:val="clear" w:color="auto" w:fill="FFFFFF"/>
              </w:rPr>
            </w:pPr>
            <w:r>
              <w:rPr>
                <w:rFonts w:cs="Arial"/>
                <w:sz w:val="20"/>
                <w:szCs w:val="20"/>
                <w:shd w:val="clear" w:color="auto" w:fill="FFFFFF"/>
              </w:rPr>
              <w:t>64</w:t>
            </w:r>
          </w:p>
        </w:tc>
        <w:tc>
          <w:tcPr>
            <w:tcW w:w="5421"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Ontario Teachers Pension Plan (OTPP)</w:t>
            </w:r>
          </w:p>
        </w:tc>
        <w:tc>
          <w:tcPr>
            <w:tcW w:w="748"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CCC</w:t>
            </w:r>
          </w:p>
        </w:tc>
        <w:tc>
          <w:tcPr>
            <w:tcW w:w="821"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BB</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131,469</w:t>
            </w:r>
          </w:p>
        </w:tc>
        <w:tc>
          <w:tcPr>
            <w:tcW w:w="1580" w:type="dxa"/>
          </w:tcPr>
          <w:p w:rsidR="00BA724C" w:rsidRPr="00A05562" w:rsidRDefault="00BA724C" w:rsidP="00BA724C">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r>
      <w:tr w:rsidR="00BA724C">
        <w:tc>
          <w:tcPr>
            <w:tcW w:w="756" w:type="dxa"/>
          </w:tcPr>
          <w:p w:rsidR="00BA724C" w:rsidRPr="00A05562" w:rsidRDefault="00D468A2" w:rsidP="00BA724C">
            <w:pPr>
              <w:spacing w:line="312" w:lineRule="auto"/>
              <w:rPr>
                <w:rFonts w:cs="Arial"/>
                <w:sz w:val="20"/>
                <w:szCs w:val="20"/>
                <w:shd w:val="clear" w:color="auto" w:fill="FFFFFF"/>
              </w:rPr>
            </w:pPr>
            <w:r>
              <w:rPr>
                <w:rFonts w:cs="Arial"/>
                <w:sz w:val="20"/>
                <w:szCs w:val="20"/>
                <w:shd w:val="clear" w:color="auto" w:fill="FFFFFF"/>
              </w:rPr>
              <w:t>70</w:t>
            </w:r>
          </w:p>
        </w:tc>
        <w:tc>
          <w:tcPr>
            <w:tcW w:w="5421"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OPSEU Pension Trust</w:t>
            </w:r>
          </w:p>
        </w:tc>
        <w:tc>
          <w:tcPr>
            <w:tcW w:w="748"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CC</w:t>
            </w:r>
          </w:p>
        </w:tc>
        <w:tc>
          <w:tcPr>
            <w:tcW w:w="821"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D</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14,010</w:t>
            </w:r>
          </w:p>
        </w:tc>
        <w:tc>
          <w:tcPr>
            <w:tcW w:w="1580" w:type="dxa"/>
          </w:tcPr>
          <w:p w:rsidR="00BA724C" w:rsidRPr="00A05562" w:rsidRDefault="00D468A2" w:rsidP="00BA724C">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r>
      <w:tr w:rsidR="00BA724C">
        <w:tc>
          <w:tcPr>
            <w:tcW w:w="756" w:type="dxa"/>
          </w:tcPr>
          <w:p w:rsidR="00BA724C" w:rsidRPr="00A05562" w:rsidRDefault="00D468A2" w:rsidP="00BA724C">
            <w:pPr>
              <w:spacing w:line="312" w:lineRule="auto"/>
              <w:rPr>
                <w:rFonts w:cs="Arial"/>
                <w:sz w:val="20"/>
                <w:szCs w:val="20"/>
                <w:shd w:val="clear" w:color="auto" w:fill="FFFFFF"/>
              </w:rPr>
            </w:pPr>
            <w:r>
              <w:rPr>
                <w:rFonts w:cs="Arial"/>
                <w:sz w:val="20"/>
                <w:szCs w:val="20"/>
                <w:shd w:val="clear" w:color="auto" w:fill="FFFFFF"/>
              </w:rPr>
              <w:t>71</w:t>
            </w:r>
          </w:p>
        </w:tc>
        <w:tc>
          <w:tcPr>
            <w:tcW w:w="5421"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The American Growth Fund (AGF)</w:t>
            </w:r>
          </w:p>
        </w:tc>
        <w:tc>
          <w:tcPr>
            <w:tcW w:w="748"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CC</w:t>
            </w:r>
          </w:p>
        </w:tc>
        <w:tc>
          <w:tcPr>
            <w:tcW w:w="821"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N/A</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13,528</w:t>
            </w:r>
          </w:p>
        </w:tc>
        <w:tc>
          <w:tcPr>
            <w:tcW w:w="1580"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Mutual fund</w:t>
            </w:r>
          </w:p>
        </w:tc>
      </w:tr>
      <w:tr w:rsidR="00BA724C">
        <w:tc>
          <w:tcPr>
            <w:tcW w:w="756" w:type="dxa"/>
          </w:tcPr>
          <w:p w:rsidR="00BA724C" w:rsidRPr="00A05562" w:rsidRDefault="00D468A2" w:rsidP="00BA724C">
            <w:pPr>
              <w:spacing w:line="312" w:lineRule="auto"/>
              <w:rPr>
                <w:rFonts w:cs="Arial"/>
                <w:sz w:val="20"/>
                <w:szCs w:val="20"/>
                <w:shd w:val="clear" w:color="auto" w:fill="FFFFFF"/>
              </w:rPr>
            </w:pPr>
            <w:r>
              <w:rPr>
                <w:rFonts w:cs="Arial"/>
                <w:sz w:val="20"/>
                <w:szCs w:val="20"/>
                <w:shd w:val="clear" w:color="auto" w:fill="FFFFFF"/>
              </w:rPr>
              <w:t>74</w:t>
            </w:r>
          </w:p>
        </w:tc>
        <w:tc>
          <w:tcPr>
            <w:tcW w:w="5421"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Canada Pension Plan Investment Board (CPPIB)</w:t>
            </w:r>
          </w:p>
        </w:tc>
        <w:tc>
          <w:tcPr>
            <w:tcW w:w="748"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CC</w:t>
            </w:r>
          </w:p>
        </w:tc>
        <w:tc>
          <w:tcPr>
            <w:tcW w:w="821"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BB</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208,835</w:t>
            </w:r>
          </w:p>
        </w:tc>
        <w:tc>
          <w:tcPr>
            <w:tcW w:w="1580" w:type="dxa"/>
          </w:tcPr>
          <w:p w:rsidR="00BA724C" w:rsidRPr="00A05562" w:rsidRDefault="00BA724C" w:rsidP="00BA724C">
            <w:pPr>
              <w:spacing w:line="312" w:lineRule="auto"/>
              <w:jc w:val="center"/>
              <w:rPr>
                <w:rFonts w:cs="Arial"/>
                <w:sz w:val="20"/>
                <w:szCs w:val="20"/>
                <w:shd w:val="clear" w:color="auto" w:fill="FFFFFF"/>
              </w:rPr>
            </w:pPr>
            <w:r>
              <w:rPr>
                <w:rFonts w:cs="Arial"/>
                <w:sz w:val="20"/>
                <w:szCs w:val="20"/>
                <w:shd w:val="clear" w:color="auto" w:fill="FFFFFF"/>
              </w:rPr>
              <w:t>Pension fund</w:t>
            </w:r>
          </w:p>
        </w:tc>
      </w:tr>
    </w:tbl>
    <w:p w:rsidR="00BA724C" w:rsidRDefault="00BA724C" w:rsidP="00BA724C">
      <w:pPr>
        <w:spacing w:after="0" w:line="312" w:lineRule="auto"/>
        <w:rPr>
          <w:rFonts w:cs="Arial"/>
          <w:sz w:val="20"/>
          <w:shd w:val="clear" w:color="auto" w:fill="FFFFFF"/>
        </w:rPr>
      </w:pPr>
    </w:p>
    <w:p w:rsidR="00BA724C" w:rsidRDefault="00BA724C" w:rsidP="00BA724C">
      <w:pPr>
        <w:spacing w:after="0" w:line="312" w:lineRule="auto"/>
        <w:rPr>
          <w:rFonts w:cs="Arial"/>
          <w:b/>
          <w:shd w:val="clear" w:color="auto" w:fill="FFFFFF"/>
        </w:rPr>
      </w:pPr>
    </w:p>
    <w:p w:rsidR="00BA724C" w:rsidRPr="00A05562" w:rsidRDefault="00D468A2" w:rsidP="00BA724C">
      <w:pPr>
        <w:spacing w:after="0" w:line="312" w:lineRule="auto"/>
        <w:rPr>
          <w:rFonts w:cs="Arial"/>
          <w:b/>
          <w:shd w:val="clear" w:color="auto" w:fill="FFFFFF"/>
        </w:rPr>
      </w:pPr>
      <w:r>
        <w:rPr>
          <w:rFonts w:cs="Arial"/>
          <w:b/>
          <w:shd w:val="clear" w:color="auto" w:fill="FFFFFF"/>
        </w:rPr>
        <w:t xml:space="preserve">Biggest 5 Canadian </w:t>
      </w:r>
      <w:r w:rsidR="00BA724C">
        <w:rPr>
          <w:rFonts w:cs="Arial"/>
          <w:b/>
          <w:shd w:val="clear" w:color="auto" w:fill="FFFFFF"/>
        </w:rPr>
        <w:t>“laggards” taking no action on climate change</w:t>
      </w:r>
    </w:p>
    <w:tbl>
      <w:tblPr>
        <w:tblStyle w:val="TableGrid"/>
        <w:tblW w:w="10201" w:type="dxa"/>
        <w:tblLook w:val="04A0"/>
      </w:tblPr>
      <w:tblGrid>
        <w:gridCol w:w="6374"/>
        <w:gridCol w:w="793"/>
        <w:gridCol w:w="748"/>
        <w:gridCol w:w="875"/>
        <w:gridCol w:w="1411"/>
      </w:tblGrid>
      <w:tr w:rsidR="00BA724C">
        <w:trPr>
          <w:trHeight w:val="478"/>
        </w:trPr>
        <w:tc>
          <w:tcPr>
            <w:tcW w:w="6374" w:type="dxa"/>
          </w:tcPr>
          <w:p w:rsidR="00BA724C" w:rsidRPr="001E54DC" w:rsidRDefault="00BA724C" w:rsidP="00BA724C">
            <w:pPr>
              <w:spacing w:line="312" w:lineRule="auto"/>
              <w:rPr>
                <w:rFonts w:cs="Arial"/>
                <w:b/>
                <w:sz w:val="20"/>
                <w:szCs w:val="20"/>
                <w:shd w:val="clear" w:color="auto" w:fill="FFFFFF"/>
              </w:rPr>
            </w:pPr>
            <w:r w:rsidRPr="001E54DC">
              <w:rPr>
                <w:rFonts w:cs="Arial"/>
                <w:b/>
                <w:sz w:val="20"/>
                <w:szCs w:val="20"/>
                <w:shd w:val="clear" w:color="auto" w:fill="FFFFFF"/>
              </w:rPr>
              <w:t>Asset Owner</w:t>
            </w:r>
          </w:p>
        </w:tc>
        <w:tc>
          <w:tcPr>
            <w:tcW w:w="793" w:type="dxa"/>
          </w:tcPr>
          <w:p w:rsidR="00BA724C" w:rsidRPr="001E54DC" w:rsidRDefault="00BA724C" w:rsidP="00BA724C">
            <w:pPr>
              <w:jc w:val="center"/>
              <w:rPr>
                <w:rFonts w:cs="Arial"/>
                <w:b/>
                <w:sz w:val="20"/>
                <w:szCs w:val="20"/>
                <w:shd w:val="clear" w:color="auto" w:fill="FFFFFF"/>
              </w:rPr>
            </w:pPr>
            <w:r w:rsidRPr="001E54DC">
              <w:rPr>
                <w:rFonts w:cs="Arial"/>
                <w:b/>
                <w:sz w:val="20"/>
                <w:szCs w:val="20"/>
                <w:shd w:val="clear" w:color="auto" w:fill="FFFFFF"/>
              </w:rPr>
              <w:t>2016 Rating</w:t>
            </w:r>
          </w:p>
        </w:tc>
        <w:tc>
          <w:tcPr>
            <w:tcW w:w="748" w:type="dxa"/>
          </w:tcPr>
          <w:p w:rsidR="00BA724C" w:rsidRPr="001E54DC" w:rsidRDefault="00BA724C" w:rsidP="00BA724C">
            <w:pPr>
              <w:jc w:val="center"/>
              <w:rPr>
                <w:rFonts w:cs="Arial"/>
                <w:b/>
                <w:sz w:val="20"/>
                <w:szCs w:val="20"/>
                <w:shd w:val="clear" w:color="auto" w:fill="FFFFFF"/>
              </w:rPr>
            </w:pPr>
            <w:r w:rsidRPr="001E54DC">
              <w:rPr>
                <w:rFonts w:cs="Arial"/>
                <w:b/>
                <w:sz w:val="20"/>
                <w:szCs w:val="20"/>
                <w:shd w:val="clear" w:color="auto" w:fill="FFFFFF"/>
              </w:rPr>
              <w:t>2015 Rating</w:t>
            </w:r>
          </w:p>
        </w:tc>
        <w:tc>
          <w:tcPr>
            <w:tcW w:w="875" w:type="dxa"/>
          </w:tcPr>
          <w:p w:rsidR="00BA724C" w:rsidRPr="001E54DC" w:rsidRDefault="00BA724C" w:rsidP="00BA724C">
            <w:pPr>
              <w:jc w:val="center"/>
              <w:rPr>
                <w:rFonts w:cs="Arial"/>
                <w:b/>
                <w:sz w:val="20"/>
                <w:szCs w:val="20"/>
                <w:shd w:val="clear" w:color="auto" w:fill="FFFFFF"/>
              </w:rPr>
            </w:pPr>
            <w:r>
              <w:rPr>
                <w:rFonts w:cs="Arial"/>
                <w:b/>
                <w:sz w:val="20"/>
                <w:szCs w:val="20"/>
                <w:shd w:val="clear" w:color="auto" w:fill="FFFFFF"/>
              </w:rPr>
              <w:t>AUM US$M</w:t>
            </w:r>
            <w:r w:rsidRPr="001E54DC">
              <w:rPr>
                <w:rFonts w:cs="Arial"/>
                <w:b/>
                <w:sz w:val="20"/>
                <w:szCs w:val="20"/>
                <w:shd w:val="clear" w:color="auto" w:fill="FFFFFF"/>
              </w:rPr>
              <w:t>ln</w:t>
            </w:r>
          </w:p>
        </w:tc>
        <w:tc>
          <w:tcPr>
            <w:tcW w:w="1411" w:type="dxa"/>
          </w:tcPr>
          <w:p w:rsidR="00BA724C" w:rsidRPr="001E54DC" w:rsidRDefault="00BA724C" w:rsidP="00BA724C">
            <w:pPr>
              <w:jc w:val="center"/>
              <w:rPr>
                <w:rFonts w:cs="Arial"/>
                <w:b/>
                <w:sz w:val="20"/>
                <w:szCs w:val="20"/>
                <w:shd w:val="clear" w:color="auto" w:fill="FFFFFF"/>
              </w:rPr>
            </w:pPr>
            <w:r w:rsidRPr="001E54DC">
              <w:rPr>
                <w:rFonts w:cs="Arial"/>
                <w:b/>
                <w:sz w:val="20"/>
                <w:szCs w:val="20"/>
                <w:shd w:val="clear" w:color="auto" w:fill="FFFFFF"/>
              </w:rPr>
              <w:t>Type</w:t>
            </w:r>
          </w:p>
        </w:tc>
      </w:tr>
      <w:tr w:rsidR="00BA724C">
        <w:tc>
          <w:tcPr>
            <w:tcW w:w="6374"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Quebec Government and Public Employees Retirement Plan (RREGOP)</w:t>
            </w:r>
          </w:p>
        </w:tc>
        <w:tc>
          <w:tcPr>
            <w:tcW w:w="793" w:type="dxa"/>
          </w:tcPr>
          <w:p w:rsidR="00BA724C" w:rsidRPr="00A05562" w:rsidRDefault="00BA724C" w:rsidP="00BA724C">
            <w:pPr>
              <w:spacing w:line="312" w:lineRule="auto"/>
              <w:jc w:val="center"/>
              <w:rPr>
                <w:rFonts w:cs="Arial"/>
                <w:sz w:val="20"/>
                <w:szCs w:val="20"/>
                <w:shd w:val="clear" w:color="auto" w:fill="FFFFFF"/>
              </w:rPr>
            </w:pPr>
            <w:r>
              <w:rPr>
                <w:rFonts w:cs="Arial"/>
                <w:sz w:val="20"/>
                <w:szCs w:val="20"/>
                <w:shd w:val="clear" w:color="auto" w:fill="FFFFFF"/>
              </w:rPr>
              <w:t>X</w:t>
            </w:r>
          </w:p>
        </w:tc>
        <w:tc>
          <w:tcPr>
            <w:tcW w:w="748"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D</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48,108</w:t>
            </w:r>
          </w:p>
        </w:tc>
        <w:tc>
          <w:tcPr>
            <w:tcW w:w="1411" w:type="dxa"/>
          </w:tcPr>
          <w:p w:rsidR="00BA724C" w:rsidRPr="00A05562" w:rsidRDefault="00BA724C" w:rsidP="00BA724C">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r>
      <w:tr w:rsidR="00BA724C">
        <w:tc>
          <w:tcPr>
            <w:tcW w:w="6374"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Quebec Teachers Pension Plan- (Regimes De Retraite Des Enseignants) (TPP-Quebec)</w:t>
            </w:r>
          </w:p>
        </w:tc>
        <w:tc>
          <w:tcPr>
            <w:tcW w:w="793" w:type="dxa"/>
          </w:tcPr>
          <w:p w:rsidR="00BA724C" w:rsidRPr="00A05562" w:rsidRDefault="00BA724C" w:rsidP="00BA724C">
            <w:pPr>
              <w:spacing w:line="312" w:lineRule="auto"/>
              <w:jc w:val="center"/>
              <w:rPr>
                <w:rFonts w:cs="Arial"/>
                <w:sz w:val="20"/>
                <w:szCs w:val="20"/>
                <w:shd w:val="clear" w:color="auto" w:fill="FFFFFF"/>
              </w:rPr>
            </w:pPr>
            <w:r>
              <w:rPr>
                <w:rFonts w:cs="Arial"/>
                <w:sz w:val="20"/>
                <w:szCs w:val="20"/>
                <w:shd w:val="clear" w:color="auto" w:fill="FFFFFF"/>
              </w:rPr>
              <w:t>X</w:t>
            </w:r>
          </w:p>
        </w:tc>
        <w:tc>
          <w:tcPr>
            <w:tcW w:w="748"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X</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44,904</w:t>
            </w:r>
          </w:p>
        </w:tc>
        <w:tc>
          <w:tcPr>
            <w:tcW w:w="1411" w:type="dxa"/>
          </w:tcPr>
          <w:p w:rsidR="00BA724C" w:rsidRPr="00A05562" w:rsidRDefault="00CA1DFB" w:rsidP="00BA724C">
            <w:pPr>
              <w:spacing w:line="312" w:lineRule="auto"/>
              <w:jc w:val="center"/>
              <w:rPr>
                <w:rFonts w:cs="Arial"/>
                <w:sz w:val="20"/>
                <w:szCs w:val="20"/>
                <w:shd w:val="clear" w:color="auto" w:fill="FFFFFF"/>
              </w:rPr>
            </w:pPr>
            <w:r>
              <w:rPr>
                <w:rFonts w:cs="Arial"/>
                <w:sz w:val="20"/>
                <w:szCs w:val="20"/>
                <w:shd w:val="clear" w:color="auto" w:fill="FFFFFF"/>
              </w:rPr>
              <w:t>Pension fund</w:t>
            </w:r>
          </w:p>
        </w:tc>
      </w:tr>
      <w:tr w:rsidR="00BA724C">
        <w:tc>
          <w:tcPr>
            <w:tcW w:w="6374"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Fonds d’amortissement des régimes de retraite (FARR)</w:t>
            </w:r>
          </w:p>
        </w:tc>
        <w:tc>
          <w:tcPr>
            <w:tcW w:w="793" w:type="dxa"/>
          </w:tcPr>
          <w:p w:rsidR="00BA724C" w:rsidRPr="00A05562" w:rsidRDefault="00BA724C" w:rsidP="00BA724C">
            <w:pPr>
              <w:spacing w:line="312" w:lineRule="auto"/>
              <w:jc w:val="center"/>
              <w:rPr>
                <w:rFonts w:cs="Arial"/>
                <w:sz w:val="20"/>
                <w:szCs w:val="20"/>
                <w:shd w:val="clear" w:color="auto" w:fill="FFFFFF"/>
              </w:rPr>
            </w:pPr>
            <w:r>
              <w:rPr>
                <w:rFonts w:cs="Arial"/>
                <w:sz w:val="20"/>
                <w:szCs w:val="20"/>
                <w:shd w:val="clear" w:color="auto" w:fill="FFFFFF"/>
              </w:rPr>
              <w:t>X</w:t>
            </w:r>
          </w:p>
        </w:tc>
        <w:tc>
          <w:tcPr>
            <w:tcW w:w="748" w:type="dxa"/>
          </w:tcPr>
          <w:p w:rsidR="00BA724C" w:rsidRPr="00A05562" w:rsidRDefault="00D468A2" w:rsidP="0041113D">
            <w:pPr>
              <w:spacing w:line="312" w:lineRule="auto"/>
              <w:jc w:val="center"/>
              <w:rPr>
                <w:rFonts w:cs="Arial"/>
                <w:sz w:val="20"/>
                <w:szCs w:val="20"/>
                <w:shd w:val="clear" w:color="auto" w:fill="FFFFFF"/>
              </w:rPr>
            </w:pPr>
            <w:r>
              <w:rPr>
                <w:rFonts w:cs="Arial"/>
                <w:sz w:val="20"/>
                <w:szCs w:val="20"/>
                <w:shd w:val="clear" w:color="auto" w:fill="FFFFFF"/>
              </w:rPr>
              <w:t>D</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41,395</w:t>
            </w:r>
          </w:p>
        </w:tc>
        <w:tc>
          <w:tcPr>
            <w:tcW w:w="1411" w:type="dxa"/>
          </w:tcPr>
          <w:p w:rsidR="00BA724C" w:rsidRPr="00A05562" w:rsidRDefault="00CA1DFB" w:rsidP="00BA724C">
            <w:pPr>
              <w:spacing w:line="312" w:lineRule="auto"/>
              <w:jc w:val="center"/>
              <w:rPr>
                <w:rFonts w:cs="Arial"/>
                <w:sz w:val="20"/>
                <w:szCs w:val="20"/>
                <w:shd w:val="clear" w:color="auto" w:fill="FFFFFF"/>
              </w:rPr>
            </w:pPr>
            <w:r>
              <w:rPr>
                <w:rFonts w:cs="Arial"/>
                <w:sz w:val="20"/>
                <w:szCs w:val="20"/>
                <w:shd w:val="clear" w:color="auto" w:fill="FFFFFF"/>
              </w:rPr>
              <w:t>Pension fund</w:t>
            </w:r>
          </w:p>
        </w:tc>
      </w:tr>
      <w:tr w:rsidR="00BA724C">
        <w:tc>
          <w:tcPr>
            <w:tcW w:w="6374"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Alberta Local Authorities Pension Plan</w:t>
            </w:r>
          </w:p>
        </w:tc>
        <w:tc>
          <w:tcPr>
            <w:tcW w:w="793" w:type="dxa"/>
          </w:tcPr>
          <w:p w:rsidR="00BA724C" w:rsidRPr="00A05562" w:rsidRDefault="00BA724C" w:rsidP="00BA724C">
            <w:pPr>
              <w:spacing w:line="312" w:lineRule="auto"/>
              <w:jc w:val="center"/>
              <w:rPr>
                <w:rFonts w:cs="Arial"/>
                <w:sz w:val="20"/>
                <w:szCs w:val="20"/>
                <w:shd w:val="clear" w:color="auto" w:fill="FFFFFF"/>
              </w:rPr>
            </w:pPr>
            <w:r>
              <w:rPr>
                <w:rFonts w:cs="Arial"/>
                <w:sz w:val="20"/>
                <w:szCs w:val="20"/>
                <w:shd w:val="clear" w:color="auto" w:fill="FFFFFF"/>
              </w:rPr>
              <w:t>X</w:t>
            </w:r>
          </w:p>
        </w:tc>
        <w:tc>
          <w:tcPr>
            <w:tcW w:w="748"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X</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26,492</w:t>
            </w:r>
          </w:p>
        </w:tc>
        <w:tc>
          <w:tcPr>
            <w:tcW w:w="1411" w:type="dxa"/>
          </w:tcPr>
          <w:p w:rsidR="00BA724C" w:rsidRPr="00A05562" w:rsidRDefault="00CA1DFB" w:rsidP="00BA724C">
            <w:pPr>
              <w:spacing w:line="312" w:lineRule="auto"/>
              <w:jc w:val="center"/>
              <w:rPr>
                <w:rFonts w:cs="Arial"/>
                <w:sz w:val="20"/>
                <w:szCs w:val="20"/>
                <w:shd w:val="clear" w:color="auto" w:fill="FFFFFF"/>
              </w:rPr>
            </w:pPr>
            <w:r>
              <w:rPr>
                <w:rFonts w:cs="Arial"/>
                <w:sz w:val="20"/>
                <w:szCs w:val="20"/>
                <w:shd w:val="clear" w:color="auto" w:fill="FFFFFF"/>
              </w:rPr>
              <w:t>Pension fund</w:t>
            </w:r>
          </w:p>
        </w:tc>
      </w:tr>
      <w:tr w:rsidR="00BA724C">
        <w:tc>
          <w:tcPr>
            <w:tcW w:w="6374" w:type="dxa"/>
          </w:tcPr>
          <w:p w:rsidR="00BA724C" w:rsidRPr="0041113D" w:rsidRDefault="00D468A2" w:rsidP="00BA724C">
            <w:pPr>
              <w:rPr>
                <w:rFonts w:ascii="Avenir Book" w:hAnsi="Avenir Book"/>
                <w:color w:val="000000"/>
                <w:sz w:val="20"/>
                <w:szCs w:val="20"/>
              </w:rPr>
            </w:pPr>
            <w:r>
              <w:rPr>
                <w:rFonts w:ascii="Avenir Book" w:hAnsi="Avenir Book"/>
                <w:color w:val="000000"/>
                <w:sz w:val="20"/>
                <w:szCs w:val="20"/>
              </w:rPr>
              <w:t>Fairfax Financial</w:t>
            </w:r>
          </w:p>
        </w:tc>
        <w:tc>
          <w:tcPr>
            <w:tcW w:w="793" w:type="dxa"/>
          </w:tcPr>
          <w:p w:rsidR="00BA724C" w:rsidRPr="00A05562" w:rsidRDefault="00BA724C" w:rsidP="00BA724C">
            <w:pPr>
              <w:spacing w:line="312" w:lineRule="auto"/>
              <w:jc w:val="center"/>
              <w:rPr>
                <w:rFonts w:cs="Arial"/>
                <w:sz w:val="20"/>
                <w:szCs w:val="20"/>
                <w:shd w:val="clear" w:color="auto" w:fill="FFFFFF"/>
              </w:rPr>
            </w:pPr>
            <w:r>
              <w:rPr>
                <w:rFonts w:cs="Arial"/>
                <w:sz w:val="20"/>
                <w:szCs w:val="20"/>
                <w:shd w:val="clear" w:color="auto" w:fill="FFFFFF"/>
              </w:rPr>
              <w:t>X</w:t>
            </w:r>
          </w:p>
        </w:tc>
        <w:tc>
          <w:tcPr>
            <w:tcW w:w="748"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N/A</w:t>
            </w:r>
          </w:p>
        </w:tc>
        <w:tc>
          <w:tcPr>
            <w:tcW w:w="875" w:type="dxa"/>
          </w:tcPr>
          <w:p w:rsidR="00BA724C" w:rsidRPr="00A05562" w:rsidRDefault="00D468A2" w:rsidP="00BA724C">
            <w:pPr>
              <w:spacing w:line="312" w:lineRule="auto"/>
              <w:jc w:val="right"/>
              <w:rPr>
                <w:rFonts w:cs="Arial"/>
                <w:sz w:val="20"/>
                <w:szCs w:val="20"/>
                <w:shd w:val="clear" w:color="auto" w:fill="FFFFFF"/>
              </w:rPr>
            </w:pPr>
            <w:r>
              <w:rPr>
                <w:rFonts w:cs="Arial"/>
                <w:sz w:val="20"/>
                <w:szCs w:val="20"/>
                <w:shd w:val="clear" w:color="auto" w:fill="FFFFFF"/>
              </w:rPr>
              <w:t>25,109</w:t>
            </w:r>
          </w:p>
        </w:tc>
        <w:tc>
          <w:tcPr>
            <w:tcW w:w="1411" w:type="dxa"/>
          </w:tcPr>
          <w:p w:rsidR="00BA724C" w:rsidRPr="00A05562" w:rsidRDefault="00D468A2" w:rsidP="00BA724C">
            <w:pPr>
              <w:spacing w:line="312" w:lineRule="auto"/>
              <w:jc w:val="center"/>
              <w:rPr>
                <w:rFonts w:cs="Arial"/>
                <w:sz w:val="20"/>
                <w:szCs w:val="20"/>
                <w:shd w:val="clear" w:color="auto" w:fill="FFFFFF"/>
              </w:rPr>
            </w:pPr>
            <w:r>
              <w:rPr>
                <w:rFonts w:cs="Arial"/>
                <w:sz w:val="20"/>
                <w:szCs w:val="20"/>
                <w:shd w:val="clear" w:color="auto" w:fill="FFFFFF"/>
              </w:rPr>
              <w:t>Insurer</w:t>
            </w:r>
          </w:p>
        </w:tc>
      </w:tr>
    </w:tbl>
    <w:p w:rsidR="00BA724C" w:rsidRDefault="00BA724C" w:rsidP="00BA724C">
      <w:pPr>
        <w:spacing w:after="0" w:line="312" w:lineRule="auto"/>
        <w:rPr>
          <w:rFonts w:cs="Arial"/>
          <w:sz w:val="20"/>
          <w:shd w:val="clear" w:color="auto" w:fill="FFFFFF"/>
        </w:rPr>
      </w:pPr>
    </w:p>
    <w:p w:rsidR="0041113D" w:rsidRDefault="0041113D" w:rsidP="00D468A2">
      <w:pPr>
        <w:rPr>
          <w:rFonts w:ascii="Avenir Book" w:hAnsi="Avenir Book"/>
          <w:b/>
        </w:rPr>
      </w:pPr>
    </w:p>
    <w:p w:rsidR="00BF5BB5" w:rsidRDefault="00BF5BB5">
      <w:pPr>
        <w:rPr>
          <w:rFonts w:ascii="Avenir Book" w:hAnsi="Avenir Book"/>
          <w:b/>
        </w:rPr>
      </w:pPr>
      <w:r>
        <w:rPr>
          <w:rFonts w:ascii="Avenir Book" w:hAnsi="Avenir Book"/>
          <w:b/>
        </w:rPr>
        <w:br w:type="page"/>
      </w:r>
    </w:p>
    <w:p w:rsidR="00D468A2" w:rsidRPr="00873A1C" w:rsidRDefault="00D468A2" w:rsidP="00D468A2">
      <w:pPr>
        <w:rPr>
          <w:rFonts w:ascii="Avenir Book" w:hAnsi="Avenir Book"/>
          <w:b/>
        </w:rPr>
      </w:pPr>
      <w:r w:rsidRPr="00873A1C">
        <w:rPr>
          <w:rFonts w:ascii="Avenir Book" w:hAnsi="Avenir Book"/>
          <w:b/>
        </w:rPr>
        <w:t>Top 10 countries (ranked by average score)</w:t>
      </w:r>
    </w:p>
    <w:tbl>
      <w:tblPr>
        <w:tblW w:w="9685" w:type="dxa"/>
        <w:tblInd w:w="103" w:type="dxa"/>
        <w:tblLayout w:type="fixed"/>
        <w:tblLook w:val="04A0"/>
      </w:tblPr>
      <w:tblGrid>
        <w:gridCol w:w="717"/>
        <w:gridCol w:w="1566"/>
        <w:gridCol w:w="997"/>
        <w:gridCol w:w="1139"/>
        <w:gridCol w:w="996"/>
        <w:gridCol w:w="1139"/>
        <w:gridCol w:w="996"/>
        <w:gridCol w:w="996"/>
        <w:gridCol w:w="1139"/>
      </w:tblGrid>
      <w:tr w:rsidR="00D468A2" w:rsidRPr="00FD16EF">
        <w:trPr>
          <w:trHeight w:val="100"/>
        </w:trPr>
        <w:tc>
          <w:tcPr>
            <w:tcW w:w="717" w:type="dxa"/>
            <w:tcBorders>
              <w:top w:val="single" w:sz="4" w:space="0" w:color="4BACC6"/>
              <w:left w:val="single" w:sz="4" w:space="0" w:color="4BACC6"/>
              <w:bottom w:val="single" w:sz="4" w:space="0" w:color="4472C4" w:themeColor="accent5"/>
              <w:right w:val="single" w:sz="4" w:space="0" w:color="FFFFFF" w:themeColor="background1"/>
            </w:tcBorders>
            <w:shd w:val="clear" w:color="4BACC6" w:fill="4BACC6"/>
          </w:tcPr>
          <w:p w:rsidR="00D468A2" w:rsidRPr="0041113D" w:rsidRDefault="00D468A2" w:rsidP="0041113D">
            <w:pPr>
              <w:spacing w:after="0"/>
              <w:jc w:val="center"/>
              <w:rPr>
                <w:rFonts w:eastAsia="Times New Roman" w:cs="Times New Roman"/>
                <w:b/>
                <w:bCs/>
                <w:color w:val="FFFFFF"/>
                <w:sz w:val="20"/>
                <w:szCs w:val="20"/>
              </w:rPr>
            </w:pPr>
          </w:p>
        </w:tc>
        <w:tc>
          <w:tcPr>
            <w:tcW w:w="1566" w:type="dxa"/>
            <w:tcBorders>
              <w:top w:val="single" w:sz="4" w:space="0" w:color="4BACC6"/>
              <w:left w:val="single" w:sz="4" w:space="0" w:color="FFFFFF" w:themeColor="background1"/>
              <w:bottom w:val="single" w:sz="4" w:space="0" w:color="4472C4" w:themeColor="accent5"/>
              <w:right w:val="single" w:sz="4" w:space="0" w:color="FFFFFF" w:themeColor="background1"/>
            </w:tcBorders>
            <w:shd w:val="clear" w:color="4BACC6" w:fill="4BACC6"/>
            <w:noWrap/>
          </w:tcPr>
          <w:p w:rsidR="00D468A2" w:rsidRPr="0041113D" w:rsidRDefault="00D468A2" w:rsidP="0041113D">
            <w:pPr>
              <w:spacing w:after="0"/>
              <w:jc w:val="center"/>
              <w:rPr>
                <w:rFonts w:eastAsia="Times New Roman" w:cs="Times New Roman"/>
                <w:b/>
                <w:bCs/>
                <w:color w:val="FFFFFF"/>
                <w:sz w:val="20"/>
                <w:szCs w:val="20"/>
              </w:rPr>
            </w:pPr>
          </w:p>
        </w:tc>
        <w:tc>
          <w:tcPr>
            <w:tcW w:w="2136" w:type="dxa"/>
            <w:gridSpan w:val="2"/>
            <w:tcBorders>
              <w:top w:val="single" w:sz="4" w:space="0" w:color="4BACC6"/>
              <w:left w:val="single" w:sz="4" w:space="0" w:color="FFFFFF" w:themeColor="background1"/>
              <w:bottom w:val="single" w:sz="4" w:space="0" w:color="FFFFFF" w:themeColor="background1"/>
              <w:right w:val="single" w:sz="4" w:space="0" w:color="FFFFFF" w:themeColor="background1"/>
            </w:tcBorders>
            <w:shd w:val="clear" w:color="4BACC6" w:fill="4BACC6"/>
            <w:noWrap/>
          </w:tcPr>
          <w:p w:rsidR="00D468A2" w:rsidRPr="0041113D" w:rsidRDefault="00D468A2" w:rsidP="0041113D">
            <w:pPr>
              <w:spacing w:after="0"/>
              <w:jc w:val="center"/>
              <w:rPr>
                <w:rFonts w:eastAsia="Times New Roman" w:cs="Times New Roman"/>
                <w:b/>
                <w:bCs/>
                <w:color w:val="FFFFFF"/>
                <w:sz w:val="20"/>
                <w:szCs w:val="20"/>
              </w:rPr>
            </w:pPr>
            <w:r w:rsidRPr="0041113D">
              <w:rPr>
                <w:rFonts w:eastAsia="Times New Roman" w:cs="Times New Roman"/>
                <w:b/>
                <w:bCs/>
                <w:color w:val="FFFFFF"/>
                <w:sz w:val="20"/>
                <w:szCs w:val="20"/>
              </w:rPr>
              <w:t xml:space="preserve">% </w:t>
            </w:r>
            <w:proofErr w:type="gramStart"/>
            <w:r w:rsidRPr="0041113D">
              <w:rPr>
                <w:rFonts w:eastAsia="Times New Roman" w:cs="Times New Roman"/>
                <w:b/>
                <w:bCs/>
                <w:color w:val="FFFFFF"/>
                <w:sz w:val="20"/>
                <w:szCs w:val="20"/>
              </w:rPr>
              <w:t>of</w:t>
            </w:r>
            <w:proofErr w:type="gramEnd"/>
            <w:r w:rsidRPr="0041113D">
              <w:rPr>
                <w:rFonts w:eastAsia="Times New Roman" w:cs="Times New Roman"/>
                <w:b/>
                <w:bCs/>
                <w:color w:val="FFFFFF"/>
                <w:sz w:val="20"/>
                <w:szCs w:val="20"/>
              </w:rPr>
              <w:t xml:space="preserve"> asset owners</w:t>
            </w:r>
          </w:p>
        </w:tc>
        <w:tc>
          <w:tcPr>
            <w:tcW w:w="2135" w:type="dxa"/>
            <w:gridSpan w:val="2"/>
            <w:tcBorders>
              <w:top w:val="single" w:sz="4" w:space="0" w:color="4BACC6"/>
              <w:left w:val="single" w:sz="4" w:space="0" w:color="FFFFFF" w:themeColor="background1"/>
              <w:bottom w:val="single" w:sz="4" w:space="0" w:color="FFFFFF" w:themeColor="background1"/>
              <w:right w:val="single" w:sz="4" w:space="0" w:color="FFFFFF" w:themeColor="background1"/>
            </w:tcBorders>
            <w:shd w:val="clear" w:color="4BACC6" w:fill="4BACC6"/>
            <w:noWrap/>
          </w:tcPr>
          <w:p w:rsidR="00D468A2" w:rsidRPr="0041113D" w:rsidRDefault="00D468A2" w:rsidP="0041113D">
            <w:pPr>
              <w:spacing w:after="0"/>
              <w:jc w:val="center"/>
              <w:rPr>
                <w:rFonts w:eastAsia="Times New Roman" w:cs="Times New Roman"/>
                <w:b/>
                <w:bCs/>
                <w:color w:val="FFFFFF"/>
                <w:sz w:val="20"/>
                <w:szCs w:val="20"/>
              </w:rPr>
            </w:pPr>
            <w:r w:rsidRPr="0041113D">
              <w:rPr>
                <w:rFonts w:eastAsia="Times New Roman" w:cs="Times New Roman"/>
                <w:b/>
                <w:bCs/>
                <w:color w:val="FFFFFF"/>
                <w:sz w:val="20"/>
                <w:szCs w:val="20"/>
              </w:rPr>
              <w:t xml:space="preserve">Proportion of AUM </w:t>
            </w:r>
          </w:p>
        </w:tc>
        <w:tc>
          <w:tcPr>
            <w:tcW w:w="996" w:type="dxa"/>
            <w:tcBorders>
              <w:top w:val="single" w:sz="4" w:space="0" w:color="4BACC6"/>
              <w:left w:val="single" w:sz="4" w:space="0" w:color="FFFFFF" w:themeColor="background1"/>
              <w:bottom w:val="single" w:sz="4" w:space="0" w:color="FFFFFF" w:themeColor="background1"/>
              <w:right w:val="single" w:sz="4" w:space="0" w:color="FFFFFF" w:themeColor="background1"/>
            </w:tcBorders>
            <w:shd w:val="clear" w:color="4BACC6" w:fill="4BACC6"/>
            <w:noWrap/>
          </w:tcPr>
          <w:p w:rsidR="00D468A2" w:rsidRPr="0041113D" w:rsidRDefault="00D468A2" w:rsidP="0041113D">
            <w:pPr>
              <w:spacing w:after="0"/>
              <w:jc w:val="center"/>
              <w:rPr>
                <w:rFonts w:eastAsia="Times New Roman" w:cs="Times New Roman"/>
                <w:b/>
                <w:bCs/>
                <w:color w:val="FFFFFF"/>
                <w:sz w:val="20"/>
                <w:szCs w:val="20"/>
              </w:rPr>
            </w:pPr>
            <w:r w:rsidRPr="0041113D">
              <w:rPr>
                <w:rFonts w:eastAsia="Times New Roman" w:cs="Times New Roman"/>
                <w:b/>
                <w:bCs/>
                <w:color w:val="FFFFFF"/>
                <w:sz w:val="20"/>
                <w:szCs w:val="20"/>
              </w:rPr>
              <w:t xml:space="preserve"># </w:t>
            </w:r>
            <w:proofErr w:type="gramStart"/>
            <w:r w:rsidRPr="0041113D">
              <w:rPr>
                <w:rFonts w:eastAsia="Times New Roman" w:cs="Times New Roman"/>
                <w:b/>
                <w:bCs/>
                <w:color w:val="FFFFFF"/>
                <w:sz w:val="20"/>
                <w:szCs w:val="20"/>
              </w:rPr>
              <w:t>asset</w:t>
            </w:r>
            <w:proofErr w:type="gramEnd"/>
          </w:p>
        </w:tc>
        <w:tc>
          <w:tcPr>
            <w:tcW w:w="2135" w:type="dxa"/>
            <w:gridSpan w:val="2"/>
            <w:tcBorders>
              <w:top w:val="single" w:sz="4" w:space="0" w:color="4BACC6"/>
              <w:left w:val="single" w:sz="4" w:space="0" w:color="FFFFFF" w:themeColor="background1"/>
              <w:bottom w:val="single" w:sz="4" w:space="0" w:color="FFFFFF" w:themeColor="background1"/>
              <w:right w:val="nil"/>
            </w:tcBorders>
            <w:shd w:val="clear" w:color="4BACC6" w:fill="4BACC6"/>
            <w:noWrap/>
          </w:tcPr>
          <w:p w:rsidR="00D468A2" w:rsidRPr="0041113D" w:rsidRDefault="00D468A2" w:rsidP="0041113D">
            <w:pPr>
              <w:spacing w:after="0"/>
              <w:jc w:val="center"/>
              <w:rPr>
                <w:rFonts w:eastAsia="Times New Roman" w:cs="Times New Roman"/>
                <w:b/>
                <w:bCs/>
                <w:color w:val="FFFFFF"/>
                <w:sz w:val="20"/>
                <w:szCs w:val="20"/>
              </w:rPr>
            </w:pPr>
            <w:r w:rsidRPr="0041113D">
              <w:rPr>
                <w:rFonts w:eastAsia="Times New Roman" w:cs="Times New Roman"/>
                <w:b/>
                <w:bCs/>
                <w:color w:val="FFFFFF"/>
                <w:sz w:val="20"/>
                <w:szCs w:val="20"/>
              </w:rPr>
              <w:t>2015 %</w:t>
            </w:r>
          </w:p>
        </w:tc>
      </w:tr>
      <w:tr w:rsidR="00D468A2" w:rsidRPr="00FD16EF">
        <w:trPr>
          <w:trHeight w:val="245"/>
        </w:trPr>
        <w:tc>
          <w:tcPr>
            <w:tcW w:w="717" w:type="dxa"/>
            <w:tcBorders>
              <w:top w:val="single" w:sz="4" w:space="0" w:color="4472C4" w:themeColor="accent5"/>
              <w:left w:val="single" w:sz="4" w:space="0" w:color="4BACC6"/>
              <w:bottom w:val="single" w:sz="4" w:space="0" w:color="4BACC6"/>
              <w:right w:val="single" w:sz="4" w:space="0" w:color="FFFFFF" w:themeColor="background1"/>
            </w:tcBorders>
            <w:shd w:val="clear" w:color="4BACC6" w:fill="4BACC6"/>
            <w:vAlign w:val="bottom"/>
          </w:tcPr>
          <w:p w:rsidR="00D468A2" w:rsidRPr="0041113D" w:rsidRDefault="00D468A2" w:rsidP="0041113D">
            <w:pPr>
              <w:spacing w:after="0"/>
              <w:jc w:val="center"/>
              <w:rPr>
                <w:rFonts w:eastAsia="Times New Roman" w:cs="Times New Roman"/>
                <w:b/>
                <w:bCs/>
                <w:color w:val="FFFFFF"/>
                <w:sz w:val="20"/>
                <w:szCs w:val="20"/>
              </w:rPr>
            </w:pPr>
            <w:r w:rsidRPr="0041113D">
              <w:rPr>
                <w:rFonts w:eastAsia="Times New Roman" w:cs="Times New Roman"/>
                <w:b/>
                <w:bCs/>
                <w:color w:val="FFFFFF"/>
                <w:sz w:val="20"/>
                <w:szCs w:val="20"/>
              </w:rPr>
              <w:t>Rank</w:t>
            </w:r>
          </w:p>
        </w:tc>
        <w:tc>
          <w:tcPr>
            <w:tcW w:w="1566" w:type="dxa"/>
            <w:tcBorders>
              <w:top w:val="single" w:sz="4" w:space="0" w:color="4472C4" w:themeColor="accent5"/>
              <w:left w:val="single" w:sz="4" w:space="0" w:color="FFFFFF" w:themeColor="background1"/>
              <w:bottom w:val="single" w:sz="4" w:space="0" w:color="4BACC6"/>
              <w:right w:val="single" w:sz="4" w:space="0" w:color="FFFFFF" w:themeColor="background1"/>
            </w:tcBorders>
            <w:shd w:val="clear" w:color="4BACC6" w:fill="4BACC6"/>
            <w:noWrap/>
            <w:vAlign w:val="bottom"/>
          </w:tcPr>
          <w:p w:rsidR="00D468A2" w:rsidRPr="0041113D" w:rsidRDefault="00D468A2" w:rsidP="0041113D">
            <w:pPr>
              <w:spacing w:after="0"/>
              <w:rPr>
                <w:rFonts w:eastAsia="Times New Roman" w:cs="Times New Roman"/>
                <w:b/>
                <w:bCs/>
                <w:color w:val="FFFFFF"/>
                <w:sz w:val="20"/>
                <w:szCs w:val="20"/>
              </w:rPr>
            </w:pPr>
            <w:r w:rsidRPr="0041113D">
              <w:rPr>
                <w:rFonts w:eastAsia="Times New Roman" w:cs="Times New Roman"/>
                <w:b/>
                <w:bCs/>
                <w:color w:val="FFFFFF"/>
                <w:sz w:val="20"/>
                <w:szCs w:val="20"/>
              </w:rPr>
              <w:t>Country</w:t>
            </w:r>
          </w:p>
        </w:tc>
        <w:tc>
          <w:tcPr>
            <w:tcW w:w="997" w:type="dxa"/>
            <w:tcBorders>
              <w:top w:val="single" w:sz="4" w:space="0" w:color="FFFFFF" w:themeColor="background1"/>
              <w:left w:val="single" w:sz="4" w:space="0" w:color="FFFFFF" w:themeColor="background1"/>
              <w:bottom w:val="single" w:sz="4" w:space="0" w:color="4BACC6"/>
              <w:right w:val="single" w:sz="4" w:space="0" w:color="FFFFFF" w:themeColor="background1"/>
            </w:tcBorders>
            <w:shd w:val="clear" w:color="4BACC6" w:fill="4BACC6"/>
            <w:noWrap/>
            <w:vAlign w:val="bottom"/>
          </w:tcPr>
          <w:p w:rsidR="00D468A2" w:rsidRPr="0041113D" w:rsidRDefault="00D468A2" w:rsidP="0041113D">
            <w:pPr>
              <w:spacing w:after="0"/>
              <w:rPr>
                <w:rFonts w:eastAsia="Times New Roman" w:cs="Times New Roman"/>
                <w:b/>
                <w:bCs/>
                <w:color w:val="FFFFFF"/>
                <w:sz w:val="20"/>
                <w:szCs w:val="20"/>
              </w:rPr>
            </w:pPr>
            <w:r w:rsidRPr="0041113D">
              <w:rPr>
                <w:rFonts w:eastAsia="Times New Roman" w:cs="Times New Roman"/>
                <w:b/>
                <w:bCs/>
                <w:color w:val="FFFFFF"/>
                <w:sz w:val="20"/>
                <w:szCs w:val="20"/>
              </w:rPr>
              <w:t>Leaders</w:t>
            </w:r>
          </w:p>
        </w:tc>
        <w:tc>
          <w:tcPr>
            <w:tcW w:w="1139" w:type="dxa"/>
            <w:tcBorders>
              <w:top w:val="single" w:sz="4" w:space="0" w:color="FFFFFF" w:themeColor="background1"/>
              <w:left w:val="single" w:sz="4" w:space="0" w:color="FFFFFF" w:themeColor="background1"/>
              <w:bottom w:val="single" w:sz="4" w:space="0" w:color="4BACC6"/>
              <w:right w:val="single" w:sz="4" w:space="0" w:color="FFFFFF" w:themeColor="background1"/>
            </w:tcBorders>
            <w:shd w:val="clear" w:color="4BACC6" w:fill="4BACC6"/>
            <w:noWrap/>
            <w:vAlign w:val="bottom"/>
          </w:tcPr>
          <w:p w:rsidR="00D468A2" w:rsidRPr="0041113D" w:rsidRDefault="00D468A2" w:rsidP="0041113D">
            <w:pPr>
              <w:spacing w:after="0"/>
              <w:jc w:val="center"/>
              <w:rPr>
                <w:rFonts w:eastAsia="Times New Roman" w:cs="Times New Roman"/>
                <w:b/>
                <w:bCs/>
                <w:color w:val="FFFFFF"/>
                <w:sz w:val="20"/>
                <w:szCs w:val="20"/>
              </w:rPr>
            </w:pPr>
            <w:r w:rsidRPr="0041113D">
              <w:rPr>
                <w:rFonts w:eastAsia="Times New Roman" w:cs="Times New Roman"/>
                <w:b/>
                <w:bCs/>
                <w:color w:val="FFFFFF"/>
                <w:sz w:val="20"/>
                <w:szCs w:val="20"/>
              </w:rPr>
              <w:t>Laggards</w:t>
            </w:r>
          </w:p>
        </w:tc>
        <w:tc>
          <w:tcPr>
            <w:tcW w:w="996" w:type="dxa"/>
            <w:tcBorders>
              <w:top w:val="single" w:sz="4" w:space="0" w:color="FFFFFF" w:themeColor="background1"/>
              <w:left w:val="single" w:sz="4" w:space="0" w:color="FFFFFF" w:themeColor="background1"/>
              <w:bottom w:val="single" w:sz="4" w:space="0" w:color="4BACC6"/>
              <w:right w:val="single" w:sz="4" w:space="0" w:color="FFFFFF" w:themeColor="background1"/>
            </w:tcBorders>
            <w:shd w:val="clear" w:color="4BACC6" w:fill="4BACC6"/>
            <w:noWrap/>
            <w:vAlign w:val="bottom"/>
          </w:tcPr>
          <w:p w:rsidR="00D468A2" w:rsidRPr="0041113D" w:rsidRDefault="00D468A2" w:rsidP="0041113D">
            <w:pPr>
              <w:spacing w:after="0"/>
              <w:rPr>
                <w:rFonts w:eastAsia="Times New Roman" w:cs="Times New Roman"/>
                <w:b/>
                <w:bCs/>
                <w:color w:val="FFFFFF"/>
                <w:sz w:val="20"/>
                <w:szCs w:val="20"/>
              </w:rPr>
            </w:pPr>
            <w:r w:rsidRPr="0041113D">
              <w:rPr>
                <w:rFonts w:eastAsia="Times New Roman" w:cs="Times New Roman"/>
                <w:b/>
                <w:bCs/>
                <w:color w:val="FFFFFF"/>
                <w:sz w:val="20"/>
                <w:szCs w:val="20"/>
              </w:rPr>
              <w:t>Leaders</w:t>
            </w:r>
          </w:p>
        </w:tc>
        <w:tc>
          <w:tcPr>
            <w:tcW w:w="1139" w:type="dxa"/>
            <w:tcBorders>
              <w:top w:val="single" w:sz="4" w:space="0" w:color="FFFFFF" w:themeColor="background1"/>
              <w:left w:val="single" w:sz="4" w:space="0" w:color="FFFFFF" w:themeColor="background1"/>
              <w:bottom w:val="single" w:sz="4" w:space="0" w:color="4BACC6"/>
              <w:right w:val="single" w:sz="4" w:space="0" w:color="FFFFFF" w:themeColor="background1"/>
            </w:tcBorders>
            <w:shd w:val="clear" w:color="4BACC6" w:fill="4BACC6"/>
            <w:noWrap/>
            <w:vAlign w:val="bottom"/>
          </w:tcPr>
          <w:p w:rsidR="00D468A2" w:rsidRPr="0041113D" w:rsidRDefault="00D468A2" w:rsidP="0041113D">
            <w:pPr>
              <w:spacing w:after="0"/>
              <w:rPr>
                <w:rFonts w:eastAsia="Times New Roman" w:cs="Times New Roman"/>
                <w:b/>
                <w:bCs/>
                <w:color w:val="FFFFFF"/>
                <w:sz w:val="20"/>
                <w:szCs w:val="20"/>
              </w:rPr>
            </w:pPr>
            <w:r w:rsidRPr="0041113D">
              <w:rPr>
                <w:rFonts w:eastAsia="Times New Roman" w:cs="Times New Roman"/>
                <w:b/>
                <w:bCs/>
                <w:color w:val="FFFFFF"/>
                <w:sz w:val="20"/>
                <w:szCs w:val="20"/>
              </w:rPr>
              <w:t>Laggards</w:t>
            </w:r>
          </w:p>
        </w:tc>
        <w:tc>
          <w:tcPr>
            <w:tcW w:w="996" w:type="dxa"/>
            <w:tcBorders>
              <w:top w:val="single" w:sz="4" w:space="0" w:color="FFFFFF" w:themeColor="background1"/>
              <w:left w:val="single" w:sz="4" w:space="0" w:color="FFFFFF" w:themeColor="background1"/>
              <w:bottom w:val="single" w:sz="4" w:space="0" w:color="4BACC6"/>
              <w:right w:val="single" w:sz="4" w:space="0" w:color="FFFFFF" w:themeColor="background1"/>
            </w:tcBorders>
            <w:shd w:val="clear" w:color="4BACC6" w:fill="4BACC6"/>
            <w:noWrap/>
            <w:vAlign w:val="bottom"/>
          </w:tcPr>
          <w:p w:rsidR="00D468A2" w:rsidRPr="0041113D" w:rsidRDefault="00D468A2" w:rsidP="0041113D">
            <w:pPr>
              <w:spacing w:after="0"/>
              <w:jc w:val="center"/>
              <w:rPr>
                <w:rFonts w:eastAsia="Times New Roman" w:cs="Times New Roman"/>
                <w:b/>
                <w:bCs/>
                <w:color w:val="FFFFFF"/>
                <w:sz w:val="20"/>
                <w:szCs w:val="20"/>
              </w:rPr>
            </w:pPr>
            <w:proofErr w:type="gramStart"/>
            <w:r w:rsidRPr="0041113D">
              <w:rPr>
                <w:rFonts w:eastAsia="Times New Roman" w:cs="Times New Roman"/>
                <w:b/>
                <w:bCs/>
                <w:color w:val="FFFFFF"/>
                <w:sz w:val="20"/>
                <w:szCs w:val="20"/>
              </w:rPr>
              <w:t>owners</w:t>
            </w:r>
            <w:proofErr w:type="gramEnd"/>
          </w:p>
        </w:tc>
        <w:tc>
          <w:tcPr>
            <w:tcW w:w="996" w:type="dxa"/>
            <w:tcBorders>
              <w:top w:val="single" w:sz="4" w:space="0" w:color="FFFFFF" w:themeColor="background1"/>
              <w:left w:val="single" w:sz="4" w:space="0" w:color="FFFFFF" w:themeColor="background1"/>
              <w:bottom w:val="single" w:sz="4" w:space="0" w:color="4BACC6"/>
              <w:right w:val="single" w:sz="4" w:space="0" w:color="FFFFFF" w:themeColor="background1"/>
            </w:tcBorders>
            <w:shd w:val="clear" w:color="4BACC6" w:fill="4BACC6"/>
            <w:noWrap/>
            <w:vAlign w:val="bottom"/>
          </w:tcPr>
          <w:p w:rsidR="00D468A2" w:rsidRPr="0041113D" w:rsidRDefault="00D468A2" w:rsidP="0041113D">
            <w:pPr>
              <w:spacing w:after="0"/>
              <w:rPr>
                <w:rFonts w:eastAsia="Times New Roman" w:cs="Times New Roman"/>
                <w:b/>
                <w:bCs/>
                <w:color w:val="FFFFFF"/>
                <w:sz w:val="20"/>
                <w:szCs w:val="20"/>
              </w:rPr>
            </w:pPr>
            <w:r w:rsidRPr="0041113D">
              <w:rPr>
                <w:rFonts w:eastAsia="Times New Roman" w:cs="Times New Roman"/>
                <w:b/>
                <w:bCs/>
                <w:color w:val="FFFFFF"/>
                <w:sz w:val="20"/>
                <w:szCs w:val="20"/>
              </w:rPr>
              <w:t>Leaders</w:t>
            </w:r>
          </w:p>
        </w:tc>
        <w:tc>
          <w:tcPr>
            <w:tcW w:w="1139" w:type="dxa"/>
            <w:tcBorders>
              <w:top w:val="single" w:sz="4" w:space="0" w:color="FFFFFF" w:themeColor="background1"/>
              <w:left w:val="single" w:sz="4" w:space="0" w:color="FFFFFF" w:themeColor="background1"/>
              <w:bottom w:val="single" w:sz="4" w:space="0" w:color="4BACC6"/>
              <w:right w:val="nil"/>
            </w:tcBorders>
            <w:shd w:val="clear" w:color="4BACC6" w:fill="4BACC6"/>
            <w:noWrap/>
            <w:vAlign w:val="bottom"/>
          </w:tcPr>
          <w:p w:rsidR="00D468A2" w:rsidRPr="0041113D" w:rsidRDefault="00D468A2" w:rsidP="0041113D">
            <w:pPr>
              <w:spacing w:after="0"/>
              <w:rPr>
                <w:rFonts w:eastAsia="Times New Roman" w:cs="Times New Roman"/>
                <w:b/>
                <w:bCs/>
                <w:color w:val="FFFFFF"/>
                <w:sz w:val="20"/>
                <w:szCs w:val="20"/>
              </w:rPr>
            </w:pPr>
            <w:r w:rsidRPr="0041113D">
              <w:rPr>
                <w:rFonts w:eastAsia="Times New Roman" w:cs="Times New Roman"/>
                <w:b/>
                <w:bCs/>
                <w:color w:val="FFFFFF"/>
                <w:sz w:val="20"/>
                <w:szCs w:val="20"/>
              </w:rPr>
              <w:t>Laggards</w:t>
            </w:r>
          </w:p>
        </w:tc>
      </w:tr>
      <w:tr w:rsidR="00D468A2" w:rsidRPr="00FD16EF">
        <w:trPr>
          <w:trHeight w:val="245"/>
        </w:trPr>
        <w:tc>
          <w:tcPr>
            <w:tcW w:w="717" w:type="dxa"/>
            <w:tcBorders>
              <w:top w:val="single" w:sz="4" w:space="0" w:color="4BACC6"/>
              <w:left w:val="single" w:sz="4" w:space="0" w:color="4BACC6"/>
              <w:bottom w:val="single" w:sz="4" w:space="0" w:color="4BACC6"/>
              <w:right w:val="single" w:sz="4" w:space="0" w:color="4BACC6"/>
            </w:tcBorders>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Sweden</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33%</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r>
      <w:tr w:rsidR="00D468A2" w:rsidRPr="00FD16EF">
        <w:trPr>
          <w:trHeight w:val="245"/>
        </w:trPr>
        <w:tc>
          <w:tcPr>
            <w:tcW w:w="717" w:type="dxa"/>
            <w:tcBorders>
              <w:top w:val="single" w:sz="4" w:space="0" w:color="4BACC6"/>
              <w:left w:val="single" w:sz="4" w:space="0" w:color="4BACC6"/>
              <w:bottom w:val="single" w:sz="4" w:space="0" w:color="4BACC6"/>
              <w:right w:val="single" w:sz="4" w:space="0" w:color="4BACC6"/>
            </w:tcBorders>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Norway</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25%</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6%</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4</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50%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r>
      <w:tr w:rsidR="00D468A2" w:rsidRPr="00A23AC4">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Australia*</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18%</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16%</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9%</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33</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18%</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11%</w:t>
            </w:r>
          </w:p>
        </w:tc>
      </w:tr>
      <w:tr w:rsidR="00D468A2" w:rsidRPr="00A23AC4">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4</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France</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21%</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29%</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13%</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8%</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14</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14%</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29%</w:t>
            </w:r>
          </w:p>
        </w:tc>
      </w:tr>
      <w:tr w:rsidR="00D468A2" w:rsidRPr="00A23AC4">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5</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Denmark</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19%</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20%</w:t>
            </w:r>
          </w:p>
        </w:tc>
      </w:tr>
      <w:tr w:rsidR="00D468A2" w:rsidRPr="00A23AC4">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6</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Netherlands*</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17%</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17%</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51%</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6%</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18</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11%</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11%</w:t>
            </w:r>
          </w:p>
        </w:tc>
      </w:tr>
      <w:tr w:rsidR="00D468A2" w:rsidRPr="00A23AC4">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7</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UK*</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14%</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23%</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14%</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8%</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43</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6%</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34%</w:t>
            </w:r>
          </w:p>
        </w:tc>
      </w:tr>
      <w:tr w:rsidR="00D468A2" w:rsidRPr="00A23AC4">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8</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Brazil</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40%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30%</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5</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r>
      <w:tr w:rsidR="00D468A2" w:rsidRPr="00FD16EF">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9</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USA*</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5%</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67%</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46%</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174</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4%</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53%</w:t>
            </w:r>
          </w:p>
        </w:tc>
      </w:tr>
      <w:tr w:rsidR="00D468A2" w:rsidRPr="00FD16EF">
        <w:trPr>
          <w:trHeight w:val="245"/>
        </w:trPr>
        <w:tc>
          <w:tcPr>
            <w:tcW w:w="717" w:type="dxa"/>
            <w:tcBorders>
              <w:top w:val="single" w:sz="4" w:space="0" w:color="4BACC6"/>
              <w:left w:val="single" w:sz="4" w:space="0" w:color="4BACC6"/>
              <w:bottom w:val="single" w:sz="4" w:space="0" w:color="4BACC6"/>
              <w:right w:val="single" w:sz="4" w:space="0" w:color="4BACC6"/>
            </w:tcBorders>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10</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China</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63%</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59%</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8</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100%</w:t>
            </w:r>
          </w:p>
        </w:tc>
      </w:tr>
      <w:tr w:rsidR="00D468A2" w:rsidRPr="00FD16EF">
        <w:trPr>
          <w:trHeight w:val="122"/>
        </w:trPr>
        <w:tc>
          <w:tcPr>
            <w:tcW w:w="717" w:type="dxa"/>
            <w:tcBorders>
              <w:top w:val="single" w:sz="4" w:space="0" w:color="4BACC6"/>
              <w:left w:val="single" w:sz="4" w:space="0" w:color="4BACC6"/>
              <w:bottom w:val="single" w:sz="4" w:space="0" w:color="4BACC6"/>
              <w:right w:val="nil"/>
            </w:tcBorders>
            <w:shd w:val="clear" w:color="000000" w:fill="1F497D"/>
            <w:vAlign w:val="bottom"/>
          </w:tcPr>
          <w:p w:rsidR="00D468A2" w:rsidRPr="0041113D" w:rsidRDefault="00D468A2" w:rsidP="0041113D">
            <w:pPr>
              <w:spacing w:after="0"/>
              <w:jc w:val="center"/>
              <w:rPr>
                <w:rFonts w:eastAsia="Times New Roman" w:cs="Times New Roman"/>
                <w:sz w:val="20"/>
                <w:szCs w:val="20"/>
              </w:rPr>
            </w:pPr>
          </w:p>
        </w:tc>
        <w:tc>
          <w:tcPr>
            <w:tcW w:w="1566" w:type="dxa"/>
            <w:tcBorders>
              <w:top w:val="single" w:sz="4" w:space="0" w:color="4BACC6"/>
              <w:left w:val="single" w:sz="4" w:space="0" w:color="4BACC6"/>
              <w:bottom w:val="single" w:sz="4" w:space="0" w:color="4BACC6"/>
              <w:right w:val="nil"/>
            </w:tcBorders>
            <w:shd w:val="clear" w:color="000000" w:fill="1F497D"/>
            <w:noWrap/>
            <w:vAlign w:val="bottom"/>
          </w:tcPr>
          <w:p w:rsidR="00D468A2" w:rsidRPr="0041113D" w:rsidRDefault="00D468A2" w:rsidP="0041113D">
            <w:pPr>
              <w:spacing w:after="0"/>
              <w:rPr>
                <w:rFonts w:eastAsia="Times New Roman" w:cs="Times New Roman"/>
                <w:sz w:val="20"/>
                <w:szCs w:val="20"/>
              </w:rPr>
            </w:pPr>
            <w:r w:rsidRPr="0041113D">
              <w:rPr>
                <w:rFonts w:eastAsia="Times New Roman" w:cs="Times New Roman"/>
                <w:sz w:val="20"/>
                <w:szCs w:val="20"/>
              </w:rPr>
              <w:t> </w:t>
            </w:r>
          </w:p>
        </w:tc>
        <w:tc>
          <w:tcPr>
            <w:tcW w:w="997" w:type="dxa"/>
            <w:tcBorders>
              <w:top w:val="single" w:sz="4" w:space="0" w:color="4BACC6"/>
              <w:left w:val="nil"/>
              <w:bottom w:val="single" w:sz="4" w:space="0" w:color="4BACC6"/>
              <w:right w:val="nil"/>
            </w:tcBorders>
            <w:shd w:val="clear" w:color="000000" w:fill="1F497D"/>
            <w:noWrap/>
            <w:vAlign w:val="bottom"/>
          </w:tcPr>
          <w:p w:rsidR="00D468A2" w:rsidRPr="0041113D" w:rsidRDefault="00D468A2" w:rsidP="0041113D">
            <w:pPr>
              <w:spacing w:after="0"/>
              <w:jc w:val="center"/>
              <w:rPr>
                <w:rFonts w:eastAsia="Times New Roman" w:cs="Times New Roman"/>
                <w:color w:val="000000"/>
                <w:sz w:val="20"/>
                <w:szCs w:val="20"/>
              </w:rPr>
            </w:pPr>
          </w:p>
        </w:tc>
        <w:tc>
          <w:tcPr>
            <w:tcW w:w="1139" w:type="dxa"/>
            <w:tcBorders>
              <w:top w:val="single" w:sz="4" w:space="0" w:color="4BACC6"/>
              <w:left w:val="nil"/>
              <w:bottom w:val="single" w:sz="4" w:space="0" w:color="4BACC6"/>
              <w:right w:val="nil"/>
            </w:tcBorders>
            <w:shd w:val="clear" w:color="000000" w:fill="1F497D"/>
            <w:noWrap/>
            <w:vAlign w:val="bottom"/>
          </w:tcPr>
          <w:p w:rsidR="00D468A2" w:rsidRPr="0041113D" w:rsidRDefault="00D468A2" w:rsidP="0041113D">
            <w:pPr>
              <w:spacing w:after="0"/>
              <w:jc w:val="center"/>
              <w:rPr>
                <w:rFonts w:eastAsia="Times New Roman" w:cs="Times New Roman"/>
                <w:color w:val="000000"/>
                <w:sz w:val="20"/>
                <w:szCs w:val="20"/>
              </w:rPr>
            </w:pPr>
          </w:p>
        </w:tc>
        <w:tc>
          <w:tcPr>
            <w:tcW w:w="996" w:type="dxa"/>
            <w:tcBorders>
              <w:top w:val="single" w:sz="4" w:space="0" w:color="4BACC6"/>
              <w:left w:val="nil"/>
              <w:bottom w:val="single" w:sz="4" w:space="0" w:color="4BACC6"/>
              <w:right w:val="nil"/>
            </w:tcBorders>
            <w:shd w:val="clear" w:color="000000" w:fill="1F497D"/>
            <w:noWrap/>
            <w:vAlign w:val="bottom"/>
          </w:tcPr>
          <w:p w:rsidR="00D468A2" w:rsidRPr="0041113D" w:rsidRDefault="00D468A2" w:rsidP="0041113D">
            <w:pPr>
              <w:spacing w:after="0"/>
              <w:jc w:val="center"/>
              <w:rPr>
                <w:rFonts w:eastAsia="Times New Roman" w:cs="Times New Roman"/>
                <w:color w:val="000000"/>
                <w:sz w:val="20"/>
                <w:szCs w:val="20"/>
              </w:rPr>
            </w:pPr>
          </w:p>
        </w:tc>
        <w:tc>
          <w:tcPr>
            <w:tcW w:w="1139" w:type="dxa"/>
            <w:tcBorders>
              <w:top w:val="single" w:sz="4" w:space="0" w:color="4BACC6"/>
              <w:left w:val="nil"/>
              <w:bottom w:val="single" w:sz="4" w:space="0" w:color="4BACC6"/>
              <w:right w:val="nil"/>
            </w:tcBorders>
            <w:shd w:val="clear" w:color="000000" w:fill="1F497D"/>
            <w:noWrap/>
            <w:vAlign w:val="bottom"/>
          </w:tcPr>
          <w:p w:rsidR="00D468A2" w:rsidRPr="0041113D" w:rsidRDefault="00D468A2" w:rsidP="0041113D">
            <w:pPr>
              <w:spacing w:after="0"/>
              <w:jc w:val="center"/>
              <w:rPr>
                <w:rFonts w:eastAsia="Times New Roman" w:cs="Times New Roman"/>
                <w:color w:val="000000"/>
                <w:sz w:val="20"/>
                <w:szCs w:val="20"/>
              </w:rPr>
            </w:pPr>
          </w:p>
        </w:tc>
        <w:tc>
          <w:tcPr>
            <w:tcW w:w="996" w:type="dxa"/>
            <w:tcBorders>
              <w:top w:val="single" w:sz="4" w:space="0" w:color="4BACC6"/>
              <w:left w:val="nil"/>
              <w:bottom w:val="single" w:sz="4" w:space="0" w:color="4BACC6"/>
              <w:right w:val="nil"/>
            </w:tcBorders>
            <w:shd w:val="clear" w:color="000000" w:fill="1F497D"/>
            <w:noWrap/>
            <w:vAlign w:val="bottom"/>
          </w:tcPr>
          <w:p w:rsidR="00D468A2" w:rsidRPr="0041113D" w:rsidRDefault="00D468A2" w:rsidP="0041113D">
            <w:pPr>
              <w:spacing w:after="0"/>
              <w:jc w:val="center"/>
              <w:rPr>
                <w:rFonts w:eastAsia="Times New Roman" w:cs="Times New Roman"/>
                <w:color w:val="000000"/>
                <w:sz w:val="20"/>
                <w:szCs w:val="20"/>
              </w:rPr>
            </w:pPr>
          </w:p>
        </w:tc>
        <w:tc>
          <w:tcPr>
            <w:tcW w:w="996" w:type="dxa"/>
            <w:tcBorders>
              <w:top w:val="single" w:sz="4" w:space="0" w:color="4BACC6"/>
              <w:left w:val="nil"/>
              <w:bottom w:val="single" w:sz="4" w:space="0" w:color="4BACC6"/>
              <w:right w:val="nil"/>
            </w:tcBorders>
            <w:shd w:val="clear" w:color="000000" w:fill="1F497D"/>
            <w:noWrap/>
            <w:vAlign w:val="bottom"/>
          </w:tcPr>
          <w:p w:rsidR="00D468A2" w:rsidRPr="0041113D" w:rsidRDefault="00D468A2" w:rsidP="0041113D">
            <w:pPr>
              <w:spacing w:after="0"/>
              <w:jc w:val="center"/>
              <w:rPr>
                <w:rFonts w:eastAsia="Times New Roman" w:cs="Times New Roman"/>
                <w:color w:val="000000"/>
                <w:sz w:val="20"/>
                <w:szCs w:val="20"/>
              </w:rPr>
            </w:pPr>
          </w:p>
        </w:tc>
        <w:tc>
          <w:tcPr>
            <w:tcW w:w="1139" w:type="dxa"/>
            <w:tcBorders>
              <w:top w:val="single" w:sz="4" w:space="0" w:color="4BACC6"/>
              <w:left w:val="nil"/>
              <w:bottom w:val="single" w:sz="4" w:space="0" w:color="4BACC6"/>
              <w:right w:val="nil"/>
            </w:tcBorders>
            <w:shd w:val="clear" w:color="000000" w:fill="1F497D"/>
            <w:noWrap/>
            <w:vAlign w:val="bottom"/>
          </w:tcPr>
          <w:p w:rsidR="00D468A2" w:rsidRPr="0041113D" w:rsidRDefault="00D468A2" w:rsidP="0041113D">
            <w:pPr>
              <w:spacing w:after="0"/>
              <w:jc w:val="center"/>
              <w:rPr>
                <w:rFonts w:eastAsia="Times New Roman" w:cs="Times New Roman"/>
                <w:color w:val="000000"/>
                <w:sz w:val="20"/>
                <w:szCs w:val="20"/>
              </w:rPr>
            </w:pPr>
          </w:p>
        </w:tc>
      </w:tr>
      <w:tr w:rsidR="00D468A2" w:rsidRPr="00FD16EF">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11</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Canada*</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44%</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21%</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27</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34%</w:t>
            </w:r>
          </w:p>
        </w:tc>
      </w:tr>
      <w:tr w:rsidR="00D468A2" w:rsidRPr="00FD16EF">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14</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Switzerland*</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33%</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16%</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21</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60%</w:t>
            </w:r>
          </w:p>
        </w:tc>
      </w:tr>
      <w:tr w:rsidR="00D468A2" w:rsidRPr="00FD16EF">
        <w:trPr>
          <w:trHeight w:val="245"/>
        </w:trPr>
        <w:tc>
          <w:tcPr>
            <w:tcW w:w="717" w:type="dxa"/>
            <w:tcBorders>
              <w:top w:val="single" w:sz="4" w:space="0" w:color="4BACC6"/>
              <w:left w:val="single" w:sz="4" w:space="0" w:color="4BACC6"/>
              <w:bottom w:val="single" w:sz="4" w:space="0" w:color="4BACC6"/>
              <w:right w:val="single" w:sz="4" w:space="0" w:color="4BACC6"/>
            </w:tcBorders>
            <w:shd w:val="clear" w:color="auto" w:fill="auto"/>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25</w:t>
            </w:r>
          </w:p>
        </w:tc>
        <w:tc>
          <w:tcPr>
            <w:tcW w:w="156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rPr>
                <w:rFonts w:eastAsia="Times New Roman" w:cs="Times New Roman"/>
                <w:color w:val="000000"/>
                <w:sz w:val="20"/>
                <w:szCs w:val="20"/>
              </w:rPr>
            </w:pPr>
            <w:r w:rsidRPr="0041113D">
              <w:rPr>
                <w:rFonts w:eastAsia="Times New Roman" w:cs="Times New Roman"/>
                <w:color w:val="000000"/>
                <w:sz w:val="20"/>
                <w:szCs w:val="20"/>
              </w:rPr>
              <w:t>Japan*</w:t>
            </w:r>
          </w:p>
        </w:tc>
        <w:tc>
          <w:tcPr>
            <w:tcW w:w="997"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58%</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B90715" w:rsidP="0041113D">
            <w:pPr>
              <w:spacing w:after="0"/>
              <w:jc w:val="center"/>
              <w:rPr>
                <w:rFonts w:eastAsia="Times New Roman" w:cs="Times New Roman"/>
                <w:color w:val="000000"/>
                <w:sz w:val="20"/>
                <w:szCs w:val="20"/>
              </w:rPr>
            </w:pPr>
            <w:r>
              <w:rPr>
                <w:rFonts w:eastAsia="Times New Roman" w:cs="Times New Roman"/>
                <w:color w:val="000000"/>
                <w:sz w:val="20"/>
                <w:szCs w:val="20"/>
              </w:rPr>
              <w:t>14</w:t>
            </w:r>
            <w:r w:rsidR="00D468A2" w:rsidRPr="0041113D">
              <w:rPr>
                <w:rFonts w:eastAsia="Times New Roman" w:cs="Times New Roman"/>
                <w:color w:val="000000"/>
                <w:sz w:val="20"/>
                <w:szCs w:val="20"/>
              </w:rPr>
              <w:t>%</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26</w:t>
            </w:r>
          </w:p>
        </w:tc>
        <w:tc>
          <w:tcPr>
            <w:tcW w:w="996"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0%</w:t>
            </w:r>
          </w:p>
        </w:tc>
        <w:tc>
          <w:tcPr>
            <w:tcW w:w="1139" w:type="dxa"/>
            <w:tcBorders>
              <w:top w:val="single" w:sz="4" w:space="0" w:color="4BACC6"/>
              <w:left w:val="single" w:sz="4" w:space="0" w:color="4BACC6"/>
              <w:bottom w:val="single" w:sz="4" w:space="0" w:color="4BACC6"/>
              <w:right w:val="single" w:sz="4" w:space="0" w:color="4BACC6"/>
            </w:tcBorders>
            <w:shd w:val="clear" w:color="auto" w:fill="auto"/>
            <w:noWrap/>
            <w:vAlign w:val="bottom"/>
          </w:tcPr>
          <w:p w:rsidR="00D468A2" w:rsidRPr="0041113D" w:rsidRDefault="00D468A2" w:rsidP="0041113D">
            <w:pPr>
              <w:spacing w:after="0"/>
              <w:jc w:val="center"/>
              <w:rPr>
                <w:rFonts w:eastAsia="Times New Roman" w:cs="Times New Roman"/>
                <w:color w:val="000000"/>
                <w:sz w:val="20"/>
                <w:szCs w:val="20"/>
              </w:rPr>
            </w:pPr>
            <w:r w:rsidRPr="0041113D">
              <w:rPr>
                <w:rFonts w:eastAsia="Times New Roman" w:cs="Times New Roman"/>
                <w:color w:val="000000"/>
                <w:sz w:val="20"/>
                <w:szCs w:val="20"/>
              </w:rPr>
              <w:t>45%</w:t>
            </w:r>
          </w:p>
        </w:tc>
      </w:tr>
    </w:tbl>
    <w:p w:rsidR="00D468A2" w:rsidRPr="00715F78" w:rsidRDefault="00D468A2" w:rsidP="00D468A2">
      <w:pPr>
        <w:rPr>
          <w:rFonts w:ascii="Avenir Book" w:hAnsi="Avenir Book"/>
          <w:sz w:val="20"/>
        </w:rPr>
      </w:pPr>
      <w:r w:rsidRPr="00715F78">
        <w:rPr>
          <w:rFonts w:ascii="Avenir Book" w:hAnsi="Avenir Book"/>
          <w:sz w:val="20"/>
        </w:rPr>
        <w:t>* P7 countries</w:t>
      </w:r>
    </w:p>
    <w:p w:rsidR="00BA724C" w:rsidRDefault="00BA724C" w:rsidP="00BA724C">
      <w:pPr>
        <w:spacing w:after="0" w:line="312" w:lineRule="auto"/>
        <w:rPr>
          <w:rFonts w:cs="Arial"/>
          <w:sz w:val="20"/>
          <w:shd w:val="clear" w:color="auto" w:fill="FFFFFF"/>
        </w:rPr>
      </w:pPr>
    </w:p>
    <w:p w:rsidR="00D468A2" w:rsidRDefault="00D468A2" w:rsidP="00BA724C">
      <w:pPr>
        <w:spacing w:after="0" w:line="312" w:lineRule="auto"/>
        <w:rPr>
          <w:rFonts w:cs="Arial"/>
          <w:sz w:val="20"/>
          <w:shd w:val="clear" w:color="auto" w:fill="FFFFFF"/>
        </w:rPr>
      </w:pPr>
    </w:p>
    <w:p w:rsidR="00D468A2" w:rsidRPr="0088732D" w:rsidRDefault="00D468A2" w:rsidP="00BA724C">
      <w:pPr>
        <w:spacing w:after="0" w:line="312" w:lineRule="auto"/>
        <w:rPr>
          <w:rFonts w:cs="Arial"/>
          <w:sz w:val="20"/>
          <w:shd w:val="clear" w:color="auto" w:fill="FFFFFF"/>
        </w:rPr>
      </w:pPr>
    </w:p>
    <w:p w:rsidR="003275C5" w:rsidRPr="00A05562" w:rsidRDefault="003275C5" w:rsidP="003275C5">
      <w:pPr>
        <w:spacing w:after="0" w:line="312" w:lineRule="auto"/>
        <w:rPr>
          <w:rFonts w:cs="Arial"/>
          <w:b/>
          <w:shd w:val="clear" w:color="auto" w:fill="FFFFFF"/>
        </w:rPr>
      </w:pPr>
      <w:r w:rsidRPr="00A05562">
        <w:rPr>
          <w:rFonts w:cs="Arial"/>
          <w:b/>
          <w:shd w:val="clear" w:color="auto" w:fill="FFFFFF"/>
        </w:rPr>
        <w:t xml:space="preserve">Top 12 </w:t>
      </w:r>
      <w:r>
        <w:rPr>
          <w:rFonts w:cs="Arial"/>
          <w:b/>
          <w:shd w:val="clear" w:color="auto" w:fill="FFFFFF"/>
        </w:rPr>
        <w:t xml:space="preserve">global </w:t>
      </w:r>
      <w:r w:rsidRPr="00A05562">
        <w:rPr>
          <w:rFonts w:cs="Arial"/>
          <w:b/>
          <w:shd w:val="clear" w:color="auto" w:fill="FFFFFF"/>
        </w:rPr>
        <w:t>asset owners</w:t>
      </w:r>
    </w:p>
    <w:tbl>
      <w:tblPr>
        <w:tblStyle w:val="TableGrid"/>
        <w:tblW w:w="10201" w:type="dxa"/>
        <w:tblLook w:val="04A0"/>
      </w:tblPr>
      <w:tblGrid>
        <w:gridCol w:w="562"/>
        <w:gridCol w:w="4497"/>
        <w:gridCol w:w="748"/>
        <w:gridCol w:w="826"/>
        <w:gridCol w:w="875"/>
        <w:gridCol w:w="1418"/>
        <w:gridCol w:w="1275"/>
      </w:tblGrid>
      <w:tr w:rsidR="003275C5">
        <w:trPr>
          <w:trHeight w:val="478"/>
        </w:trPr>
        <w:tc>
          <w:tcPr>
            <w:tcW w:w="562" w:type="dxa"/>
          </w:tcPr>
          <w:p w:rsidR="003275C5" w:rsidRPr="001E54DC" w:rsidRDefault="003275C5" w:rsidP="00205477">
            <w:pPr>
              <w:spacing w:line="312" w:lineRule="auto"/>
              <w:rPr>
                <w:rFonts w:cs="Arial"/>
                <w:b/>
                <w:sz w:val="20"/>
                <w:szCs w:val="20"/>
                <w:shd w:val="clear" w:color="auto" w:fill="FFFFFF"/>
              </w:rPr>
            </w:pPr>
          </w:p>
        </w:tc>
        <w:tc>
          <w:tcPr>
            <w:tcW w:w="4497" w:type="dxa"/>
          </w:tcPr>
          <w:p w:rsidR="003275C5" w:rsidRPr="001E54DC" w:rsidRDefault="003275C5" w:rsidP="00205477">
            <w:pPr>
              <w:spacing w:line="312" w:lineRule="auto"/>
              <w:rPr>
                <w:rFonts w:cs="Arial"/>
                <w:b/>
                <w:sz w:val="20"/>
                <w:szCs w:val="20"/>
                <w:shd w:val="clear" w:color="auto" w:fill="FFFFFF"/>
              </w:rPr>
            </w:pPr>
            <w:r w:rsidRPr="001E54DC">
              <w:rPr>
                <w:rFonts w:cs="Arial"/>
                <w:b/>
                <w:sz w:val="20"/>
                <w:szCs w:val="20"/>
                <w:shd w:val="clear" w:color="auto" w:fill="FFFFFF"/>
              </w:rPr>
              <w:t>Asset Owner</w:t>
            </w:r>
          </w:p>
        </w:tc>
        <w:tc>
          <w:tcPr>
            <w:tcW w:w="748" w:type="dxa"/>
          </w:tcPr>
          <w:p w:rsidR="003275C5" w:rsidRPr="001E54DC" w:rsidRDefault="003275C5" w:rsidP="00205477">
            <w:pPr>
              <w:jc w:val="center"/>
              <w:rPr>
                <w:rFonts w:cs="Arial"/>
                <w:b/>
                <w:sz w:val="20"/>
                <w:szCs w:val="20"/>
                <w:shd w:val="clear" w:color="auto" w:fill="FFFFFF"/>
              </w:rPr>
            </w:pPr>
            <w:r w:rsidRPr="001E54DC">
              <w:rPr>
                <w:rFonts w:cs="Arial"/>
                <w:b/>
                <w:sz w:val="20"/>
                <w:szCs w:val="20"/>
                <w:shd w:val="clear" w:color="auto" w:fill="FFFFFF"/>
              </w:rPr>
              <w:t>2016 Rating</w:t>
            </w:r>
          </w:p>
        </w:tc>
        <w:tc>
          <w:tcPr>
            <w:tcW w:w="826" w:type="dxa"/>
          </w:tcPr>
          <w:p w:rsidR="003275C5" w:rsidRPr="001E54DC" w:rsidRDefault="003275C5" w:rsidP="00205477">
            <w:pPr>
              <w:jc w:val="center"/>
              <w:rPr>
                <w:rFonts w:cs="Arial"/>
                <w:b/>
                <w:sz w:val="20"/>
                <w:szCs w:val="20"/>
                <w:shd w:val="clear" w:color="auto" w:fill="FFFFFF"/>
              </w:rPr>
            </w:pPr>
            <w:r w:rsidRPr="001E54DC">
              <w:rPr>
                <w:rFonts w:cs="Arial"/>
                <w:b/>
                <w:sz w:val="20"/>
                <w:szCs w:val="20"/>
                <w:shd w:val="clear" w:color="auto" w:fill="FFFFFF"/>
              </w:rPr>
              <w:t>2015 Rating</w:t>
            </w:r>
          </w:p>
        </w:tc>
        <w:tc>
          <w:tcPr>
            <w:tcW w:w="875" w:type="dxa"/>
          </w:tcPr>
          <w:p w:rsidR="003275C5" w:rsidRPr="001E54DC" w:rsidRDefault="003275C5" w:rsidP="00205477">
            <w:pPr>
              <w:jc w:val="center"/>
              <w:rPr>
                <w:rFonts w:cs="Arial"/>
                <w:b/>
                <w:sz w:val="20"/>
                <w:szCs w:val="20"/>
                <w:shd w:val="clear" w:color="auto" w:fill="FFFFFF"/>
              </w:rPr>
            </w:pPr>
            <w:r w:rsidRPr="001E54DC">
              <w:rPr>
                <w:rFonts w:cs="Arial"/>
                <w:b/>
                <w:sz w:val="20"/>
                <w:szCs w:val="20"/>
                <w:shd w:val="clear" w:color="auto" w:fill="FFFFFF"/>
              </w:rPr>
              <w:t>AUM US$</w:t>
            </w:r>
            <w:r>
              <w:rPr>
                <w:rFonts w:cs="Arial"/>
                <w:b/>
                <w:sz w:val="20"/>
                <w:szCs w:val="20"/>
                <w:shd w:val="clear" w:color="auto" w:fill="FFFFFF"/>
              </w:rPr>
              <w:t>M</w:t>
            </w:r>
            <w:r w:rsidRPr="001E54DC">
              <w:rPr>
                <w:rFonts w:cs="Arial"/>
                <w:b/>
                <w:sz w:val="20"/>
                <w:szCs w:val="20"/>
                <w:shd w:val="clear" w:color="auto" w:fill="FFFFFF"/>
              </w:rPr>
              <w:t>ln</w:t>
            </w:r>
          </w:p>
        </w:tc>
        <w:tc>
          <w:tcPr>
            <w:tcW w:w="1418" w:type="dxa"/>
          </w:tcPr>
          <w:p w:rsidR="003275C5" w:rsidRPr="001E54DC" w:rsidRDefault="003275C5" w:rsidP="00205477">
            <w:pPr>
              <w:jc w:val="center"/>
              <w:rPr>
                <w:rFonts w:cs="Arial"/>
                <w:b/>
                <w:sz w:val="20"/>
                <w:szCs w:val="20"/>
                <w:shd w:val="clear" w:color="auto" w:fill="FFFFFF"/>
              </w:rPr>
            </w:pPr>
            <w:r w:rsidRPr="001E54DC">
              <w:rPr>
                <w:rFonts w:cs="Arial"/>
                <w:b/>
                <w:sz w:val="20"/>
                <w:szCs w:val="20"/>
                <w:shd w:val="clear" w:color="auto" w:fill="FFFFFF"/>
              </w:rPr>
              <w:t>Type</w:t>
            </w:r>
          </w:p>
        </w:tc>
        <w:tc>
          <w:tcPr>
            <w:tcW w:w="1275" w:type="dxa"/>
          </w:tcPr>
          <w:p w:rsidR="003275C5" w:rsidRPr="001E54DC" w:rsidRDefault="003275C5" w:rsidP="00205477">
            <w:pPr>
              <w:jc w:val="center"/>
              <w:rPr>
                <w:rFonts w:cs="Arial"/>
                <w:b/>
                <w:sz w:val="20"/>
                <w:szCs w:val="20"/>
                <w:shd w:val="clear" w:color="auto" w:fill="FFFFFF"/>
              </w:rPr>
            </w:pPr>
            <w:r w:rsidRPr="001E54DC">
              <w:rPr>
                <w:rFonts w:cs="Arial"/>
                <w:b/>
                <w:sz w:val="20"/>
                <w:szCs w:val="20"/>
                <w:shd w:val="clear" w:color="auto" w:fill="FFFFFF"/>
              </w:rPr>
              <w:t>Country</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1</w:t>
            </w:r>
          </w:p>
        </w:tc>
        <w:tc>
          <w:tcPr>
            <w:tcW w:w="4497" w:type="dxa"/>
          </w:tcPr>
          <w:p w:rsidR="003275C5" w:rsidRPr="00A05562" w:rsidRDefault="003275C5" w:rsidP="00205477">
            <w:pPr>
              <w:rPr>
                <w:rFonts w:cs="Arial"/>
                <w:sz w:val="20"/>
                <w:szCs w:val="20"/>
                <w:shd w:val="clear" w:color="auto" w:fill="FFFFFF"/>
              </w:rPr>
            </w:pPr>
            <w:r w:rsidRPr="00A05562">
              <w:rPr>
                <w:color w:val="000000"/>
                <w:sz w:val="20"/>
                <w:szCs w:val="20"/>
              </w:rPr>
              <w:t>The Environment Agency Pension Fund (EAPF)</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3,956</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UK</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2</w:t>
            </w:r>
          </w:p>
        </w:tc>
        <w:tc>
          <w:tcPr>
            <w:tcW w:w="4497" w:type="dxa"/>
          </w:tcPr>
          <w:p w:rsidR="003275C5" w:rsidRPr="00A05562" w:rsidRDefault="003275C5" w:rsidP="00205477">
            <w:pPr>
              <w:rPr>
                <w:color w:val="000000"/>
                <w:sz w:val="20"/>
                <w:szCs w:val="20"/>
              </w:rPr>
            </w:pPr>
            <w:r w:rsidRPr="00A05562">
              <w:rPr>
                <w:color w:val="000000"/>
                <w:sz w:val="20"/>
                <w:szCs w:val="20"/>
              </w:rPr>
              <w:t>Local Government Super (LGS)</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7,121</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Australia</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3</w:t>
            </w:r>
          </w:p>
        </w:tc>
        <w:tc>
          <w:tcPr>
            <w:tcW w:w="4497" w:type="dxa"/>
          </w:tcPr>
          <w:p w:rsidR="003275C5" w:rsidRPr="00A05562" w:rsidRDefault="003275C5" w:rsidP="00205477">
            <w:pPr>
              <w:rPr>
                <w:color w:val="000000"/>
                <w:sz w:val="20"/>
                <w:szCs w:val="20"/>
              </w:rPr>
            </w:pPr>
            <w:r w:rsidRPr="00A05562">
              <w:rPr>
                <w:color w:val="000000"/>
                <w:sz w:val="20"/>
                <w:szCs w:val="20"/>
              </w:rPr>
              <w:t>Fjärde AP-Fonden (AP4)</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36,718</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Sweden</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4</w:t>
            </w:r>
          </w:p>
        </w:tc>
        <w:tc>
          <w:tcPr>
            <w:tcW w:w="4497" w:type="dxa"/>
          </w:tcPr>
          <w:p w:rsidR="003275C5" w:rsidRPr="00A05562" w:rsidRDefault="003275C5" w:rsidP="00205477">
            <w:pPr>
              <w:rPr>
                <w:rFonts w:cs="Arial"/>
                <w:sz w:val="20"/>
                <w:szCs w:val="20"/>
                <w:shd w:val="clear" w:color="auto" w:fill="FFFFFF"/>
              </w:rPr>
            </w:pPr>
            <w:r w:rsidRPr="00A05562">
              <w:rPr>
                <w:color w:val="000000"/>
                <w:sz w:val="20"/>
                <w:szCs w:val="20"/>
              </w:rPr>
              <w:t>Stichting Pensioenfonds ABP</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391,400</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Netherlands</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5</w:t>
            </w:r>
          </w:p>
        </w:tc>
        <w:tc>
          <w:tcPr>
            <w:tcW w:w="4497" w:type="dxa"/>
          </w:tcPr>
          <w:p w:rsidR="003275C5" w:rsidRPr="00A05562" w:rsidRDefault="003275C5" w:rsidP="00205477">
            <w:pPr>
              <w:rPr>
                <w:rFonts w:cs="Arial"/>
                <w:sz w:val="20"/>
                <w:szCs w:val="20"/>
                <w:shd w:val="clear" w:color="auto" w:fill="FFFFFF"/>
              </w:rPr>
            </w:pPr>
            <w:r w:rsidRPr="00A05562">
              <w:rPr>
                <w:color w:val="000000"/>
                <w:sz w:val="20"/>
                <w:szCs w:val="20"/>
              </w:rPr>
              <w:t>New York State Common Retirement Fund (NYSCRF)</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184,500</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US</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6</w:t>
            </w:r>
          </w:p>
        </w:tc>
        <w:tc>
          <w:tcPr>
            <w:tcW w:w="4497" w:type="dxa"/>
          </w:tcPr>
          <w:p w:rsidR="003275C5" w:rsidRPr="00A05562" w:rsidRDefault="003275C5" w:rsidP="00205477">
            <w:pPr>
              <w:rPr>
                <w:rFonts w:cs="Arial"/>
                <w:sz w:val="20"/>
                <w:szCs w:val="20"/>
                <w:shd w:val="clear" w:color="auto" w:fill="FFFFFF"/>
              </w:rPr>
            </w:pPr>
            <w:r w:rsidRPr="00A05562">
              <w:rPr>
                <w:color w:val="000000"/>
                <w:sz w:val="20"/>
                <w:szCs w:val="20"/>
              </w:rPr>
              <w:t>Pensionskassernes Administration A/S (PKA)</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31,315</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Denmark</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7</w:t>
            </w:r>
          </w:p>
        </w:tc>
        <w:tc>
          <w:tcPr>
            <w:tcW w:w="4497" w:type="dxa"/>
          </w:tcPr>
          <w:p w:rsidR="003275C5" w:rsidRPr="00A05562" w:rsidRDefault="003275C5" w:rsidP="00205477">
            <w:pPr>
              <w:rPr>
                <w:color w:val="000000"/>
                <w:sz w:val="20"/>
                <w:szCs w:val="20"/>
              </w:rPr>
            </w:pPr>
            <w:r w:rsidRPr="00A05562">
              <w:rPr>
                <w:color w:val="000000"/>
                <w:sz w:val="20"/>
                <w:szCs w:val="20"/>
              </w:rPr>
              <w:t>AustralianSuper</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71,575</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Australia</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8</w:t>
            </w:r>
          </w:p>
        </w:tc>
        <w:tc>
          <w:tcPr>
            <w:tcW w:w="4497" w:type="dxa"/>
          </w:tcPr>
          <w:p w:rsidR="003275C5" w:rsidRPr="00A05562" w:rsidRDefault="003275C5" w:rsidP="00205477">
            <w:pPr>
              <w:rPr>
                <w:color w:val="000000"/>
                <w:sz w:val="20"/>
                <w:szCs w:val="20"/>
              </w:rPr>
            </w:pPr>
            <w:r w:rsidRPr="00A05562">
              <w:rPr>
                <w:color w:val="000000"/>
                <w:sz w:val="20"/>
                <w:szCs w:val="20"/>
              </w:rPr>
              <w:t>Andra AP-Fonden (AP2)</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37,500</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Sweden</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9</w:t>
            </w:r>
          </w:p>
        </w:tc>
        <w:tc>
          <w:tcPr>
            <w:tcW w:w="4497" w:type="dxa"/>
          </w:tcPr>
          <w:p w:rsidR="003275C5" w:rsidRPr="00A05562" w:rsidRDefault="003275C5" w:rsidP="00205477">
            <w:pPr>
              <w:rPr>
                <w:color w:val="000000"/>
                <w:sz w:val="20"/>
                <w:szCs w:val="20"/>
              </w:rPr>
            </w:pPr>
            <w:r w:rsidRPr="00A05562">
              <w:rPr>
                <w:color w:val="000000"/>
                <w:sz w:val="20"/>
                <w:szCs w:val="20"/>
              </w:rPr>
              <w:t>California Public Employees Retirement System (CalPERS)</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301,863</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US</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10=</w:t>
            </w:r>
          </w:p>
        </w:tc>
        <w:tc>
          <w:tcPr>
            <w:tcW w:w="4497" w:type="dxa"/>
          </w:tcPr>
          <w:p w:rsidR="003275C5" w:rsidRPr="00A05562" w:rsidRDefault="003275C5" w:rsidP="00205477">
            <w:pPr>
              <w:rPr>
                <w:rFonts w:cs="Arial"/>
                <w:sz w:val="20"/>
                <w:szCs w:val="20"/>
                <w:shd w:val="clear" w:color="auto" w:fill="FFFFFF"/>
              </w:rPr>
            </w:pPr>
            <w:r w:rsidRPr="00A05562">
              <w:rPr>
                <w:color w:val="000000"/>
                <w:sz w:val="20"/>
                <w:szCs w:val="20"/>
              </w:rPr>
              <w:t>Etablissement de retraite additionnelle de la Fonction Publique (ERAFP)</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25,501</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France</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10=</w:t>
            </w:r>
          </w:p>
        </w:tc>
        <w:tc>
          <w:tcPr>
            <w:tcW w:w="4497" w:type="dxa"/>
          </w:tcPr>
          <w:p w:rsidR="003275C5" w:rsidRPr="00A05562" w:rsidRDefault="003275C5" w:rsidP="00205477">
            <w:pPr>
              <w:rPr>
                <w:color w:val="000000"/>
                <w:sz w:val="20"/>
                <w:szCs w:val="20"/>
              </w:rPr>
            </w:pPr>
            <w:r w:rsidRPr="00A05562">
              <w:rPr>
                <w:color w:val="000000"/>
                <w:sz w:val="20"/>
                <w:szCs w:val="20"/>
              </w:rPr>
              <w:t>Church Commissioners for England</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N/A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10,443</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Endowment</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UK</w:t>
            </w:r>
          </w:p>
        </w:tc>
      </w:tr>
      <w:tr w:rsidR="003275C5">
        <w:tc>
          <w:tcPr>
            <w:tcW w:w="562" w:type="dxa"/>
          </w:tcPr>
          <w:p w:rsidR="003275C5" w:rsidRPr="00A05562" w:rsidRDefault="003275C5" w:rsidP="00205477">
            <w:pPr>
              <w:spacing w:line="312" w:lineRule="auto"/>
              <w:rPr>
                <w:rFonts w:cs="Arial"/>
                <w:sz w:val="20"/>
                <w:szCs w:val="20"/>
                <w:shd w:val="clear" w:color="auto" w:fill="FFFFFF"/>
              </w:rPr>
            </w:pPr>
            <w:r w:rsidRPr="00A05562">
              <w:rPr>
                <w:rFonts w:cs="Arial"/>
                <w:sz w:val="20"/>
                <w:szCs w:val="20"/>
                <w:shd w:val="clear" w:color="auto" w:fill="FFFFFF"/>
              </w:rPr>
              <w:t>12</w:t>
            </w:r>
          </w:p>
        </w:tc>
        <w:tc>
          <w:tcPr>
            <w:tcW w:w="4497" w:type="dxa"/>
          </w:tcPr>
          <w:p w:rsidR="003275C5" w:rsidRPr="00A05562" w:rsidRDefault="003275C5" w:rsidP="00205477">
            <w:pPr>
              <w:rPr>
                <w:color w:val="000000"/>
                <w:sz w:val="20"/>
                <w:szCs w:val="20"/>
              </w:rPr>
            </w:pPr>
            <w:r w:rsidRPr="00A05562">
              <w:rPr>
                <w:color w:val="000000"/>
                <w:sz w:val="20"/>
                <w:szCs w:val="20"/>
              </w:rPr>
              <w:t>First State Super</w:t>
            </w:r>
          </w:p>
        </w:tc>
        <w:tc>
          <w:tcPr>
            <w:tcW w:w="74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AAA</w:t>
            </w:r>
          </w:p>
        </w:tc>
        <w:tc>
          <w:tcPr>
            <w:tcW w:w="826"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AA</w:t>
            </w:r>
          </w:p>
        </w:tc>
        <w:tc>
          <w:tcPr>
            <w:tcW w:w="875" w:type="dxa"/>
          </w:tcPr>
          <w:p w:rsidR="003275C5" w:rsidRPr="00A05562" w:rsidRDefault="003275C5" w:rsidP="00205477">
            <w:pPr>
              <w:spacing w:line="312" w:lineRule="auto"/>
              <w:jc w:val="right"/>
              <w:rPr>
                <w:rFonts w:cs="Arial"/>
                <w:sz w:val="20"/>
                <w:szCs w:val="20"/>
                <w:shd w:val="clear" w:color="auto" w:fill="FFFFFF"/>
              </w:rPr>
            </w:pPr>
            <w:r>
              <w:rPr>
                <w:rFonts w:cs="Arial"/>
                <w:sz w:val="20"/>
                <w:szCs w:val="20"/>
                <w:shd w:val="clear" w:color="auto" w:fill="FFFFFF"/>
              </w:rPr>
              <w:t>39,349</w:t>
            </w:r>
          </w:p>
        </w:tc>
        <w:tc>
          <w:tcPr>
            <w:tcW w:w="1418"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Pension fund</w:t>
            </w:r>
          </w:p>
        </w:tc>
        <w:tc>
          <w:tcPr>
            <w:tcW w:w="1275" w:type="dxa"/>
          </w:tcPr>
          <w:p w:rsidR="003275C5" w:rsidRPr="00A05562" w:rsidRDefault="003275C5" w:rsidP="00205477">
            <w:pPr>
              <w:spacing w:line="312" w:lineRule="auto"/>
              <w:jc w:val="center"/>
              <w:rPr>
                <w:rFonts w:cs="Arial"/>
                <w:sz w:val="20"/>
                <w:szCs w:val="20"/>
                <w:shd w:val="clear" w:color="auto" w:fill="FFFFFF"/>
              </w:rPr>
            </w:pPr>
            <w:r w:rsidRPr="00A05562">
              <w:rPr>
                <w:rFonts w:cs="Arial"/>
                <w:sz w:val="20"/>
                <w:szCs w:val="20"/>
                <w:shd w:val="clear" w:color="auto" w:fill="FFFFFF"/>
              </w:rPr>
              <w:t>Australia</w:t>
            </w:r>
          </w:p>
        </w:tc>
      </w:tr>
    </w:tbl>
    <w:p w:rsidR="003275C5" w:rsidRPr="0088732D" w:rsidRDefault="003275C5" w:rsidP="003275C5">
      <w:pPr>
        <w:spacing w:after="0" w:line="312" w:lineRule="auto"/>
        <w:rPr>
          <w:rFonts w:cs="Arial"/>
          <w:sz w:val="20"/>
          <w:shd w:val="clear" w:color="auto" w:fill="FFFFFF"/>
        </w:rPr>
      </w:pPr>
    </w:p>
    <w:p w:rsidR="003275C5" w:rsidRDefault="003275C5">
      <w:pPr>
        <w:rPr>
          <w:rFonts w:cs="Arial"/>
          <w:b/>
          <w:shd w:val="clear" w:color="auto" w:fill="FFFFFF"/>
        </w:rPr>
      </w:pPr>
    </w:p>
    <w:p w:rsidR="003275C5" w:rsidRDefault="003275C5" w:rsidP="007B568B">
      <w:pPr>
        <w:spacing w:after="0" w:line="312" w:lineRule="auto"/>
        <w:rPr>
          <w:rFonts w:cs="Arial"/>
          <w:b/>
          <w:shd w:val="clear" w:color="auto" w:fill="FFFFFF"/>
        </w:rPr>
      </w:pPr>
    </w:p>
    <w:p w:rsidR="00FE2A15" w:rsidRDefault="004B7B8F" w:rsidP="007B568B">
      <w:pPr>
        <w:spacing w:after="0" w:line="312" w:lineRule="auto"/>
        <w:rPr>
          <w:rFonts w:cs="Arial"/>
          <w:b/>
          <w:shd w:val="clear" w:color="auto" w:fill="FFFFFF"/>
        </w:rPr>
      </w:pPr>
      <w:r w:rsidRPr="002B2202">
        <w:rPr>
          <w:rFonts w:cs="Arial"/>
          <w:b/>
          <w:shd w:val="clear" w:color="auto" w:fill="FFFFFF"/>
        </w:rPr>
        <w:t>Breakdown of climate risk ratings for world’s 500 biggest assets owners</w:t>
      </w:r>
    </w:p>
    <w:tbl>
      <w:tblPr>
        <w:tblStyle w:val="TableGrid"/>
        <w:tblW w:w="0" w:type="auto"/>
        <w:tblLook w:val="04A0"/>
      </w:tblPr>
      <w:tblGrid>
        <w:gridCol w:w="2037"/>
        <w:gridCol w:w="2037"/>
        <w:gridCol w:w="2038"/>
        <w:gridCol w:w="2038"/>
        <w:gridCol w:w="2038"/>
      </w:tblGrid>
      <w:tr w:rsidR="00FE2A15">
        <w:tc>
          <w:tcPr>
            <w:tcW w:w="2037" w:type="dxa"/>
          </w:tcPr>
          <w:p w:rsidR="00FE2A15" w:rsidRPr="00586262" w:rsidRDefault="00FE2A15" w:rsidP="007B568B">
            <w:pPr>
              <w:spacing w:line="312" w:lineRule="auto"/>
              <w:rPr>
                <w:rFonts w:cs="Arial"/>
                <w:b/>
                <w:sz w:val="20"/>
                <w:szCs w:val="20"/>
                <w:shd w:val="clear" w:color="auto" w:fill="FFFFFF"/>
              </w:rPr>
            </w:pPr>
            <w:r w:rsidRPr="00586262">
              <w:rPr>
                <w:rFonts w:cs="Arial"/>
                <w:b/>
                <w:sz w:val="20"/>
                <w:szCs w:val="20"/>
                <w:shd w:val="clear" w:color="auto" w:fill="FFFFFF"/>
              </w:rPr>
              <w:t>CATEGORY</w:t>
            </w:r>
          </w:p>
        </w:tc>
        <w:tc>
          <w:tcPr>
            <w:tcW w:w="2037" w:type="dxa"/>
          </w:tcPr>
          <w:p w:rsidR="00FE2A15" w:rsidRPr="00586262" w:rsidRDefault="00FE2A15" w:rsidP="007B568B">
            <w:pPr>
              <w:spacing w:line="312" w:lineRule="auto"/>
              <w:rPr>
                <w:rFonts w:cs="Arial"/>
                <w:b/>
                <w:sz w:val="20"/>
                <w:szCs w:val="20"/>
                <w:shd w:val="clear" w:color="auto" w:fill="FFFFFF"/>
              </w:rPr>
            </w:pPr>
            <w:r w:rsidRPr="00586262">
              <w:rPr>
                <w:rFonts w:cs="Arial"/>
                <w:b/>
                <w:sz w:val="20"/>
                <w:szCs w:val="20"/>
                <w:shd w:val="clear" w:color="auto" w:fill="FFFFFF"/>
              </w:rPr>
              <w:t>RATINGS BANDS</w:t>
            </w:r>
          </w:p>
        </w:tc>
        <w:tc>
          <w:tcPr>
            <w:tcW w:w="2038" w:type="dxa"/>
          </w:tcPr>
          <w:p w:rsidR="00FE2A15" w:rsidRPr="00586262" w:rsidRDefault="00FE2A15" w:rsidP="007B568B">
            <w:pPr>
              <w:spacing w:line="312" w:lineRule="auto"/>
              <w:rPr>
                <w:rFonts w:cs="Arial"/>
                <w:b/>
                <w:sz w:val="20"/>
                <w:szCs w:val="20"/>
                <w:shd w:val="clear" w:color="auto" w:fill="FFFFFF"/>
              </w:rPr>
            </w:pPr>
            <w:r w:rsidRPr="00586262">
              <w:rPr>
                <w:rFonts w:cs="Arial"/>
                <w:b/>
                <w:sz w:val="20"/>
                <w:szCs w:val="20"/>
                <w:shd w:val="clear" w:color="auto" w:fill="FFFFFF"/>
              </w:rPr>
              <w:t>ASSET OWNERS</w:t>
            </w:r>
            <w:r w:rsidR="00B92696" w:rsidRPr="00586262">
              <w:rPr>
                <w:rFonts w:cs="Arial"/>
                <w:b/>
                <w:sz w:val="20"/>
                <w:szCs w:val="20"/>
                <w:shd w:val="clear" w:color="auto" w:fill="FFFFFF"/>
              </w:rPr>
              <w:t xml:space="preserve"> 2016</w:t>
            </w:r>
          </w:p>
        </w:tc>
        <w:tc>
          <w:tcPr>
            <w:tcW w:w="2038" w:type="dxa"/>
          </w:tcPr>
          <w:p w:rsidR="00FE2A15" w:rsidRPr="00586262" w:rsidRDefault="00FE2A15" w:rsidP="007B568B">
            <w:pPr>
              <w:spacing w:line="312" w:lineRule="auto"/>
              <w:rPr>
                <w:rFonts w:cs="Arial"/>
                <w:b/>
                <w:sz w:val="20"/>
                <w:szCs w:val="20"/>
                <w:shd w:val="clear" w:color="auto" w:fill="FFFFFF"/>
              </w:rPr>
            </w:pPr>
            <w:r w:rsidRPr="00586262">
              <w:rPr>
                <w:rFonts w:cs="Arial"/>
                <w:b/>
                <w:sz w:val="20"/>
                <w:szCs w:val="20"/>
                <w:shd w:val="clear" w:color="auto" w:fill="FFFFFF"/>
              </w:rPr>
              <w:t>AUM ($BILLIONS)</w:t>
            </w:r>
          </w:p>
        </w:tc>
        <w:tc>
          <w:tcPr>
            <w:tcW w:w="2038" w:type="dxa"/>
          </w:tcPr>
          <w:p w:rsidR="00FE2A15" w:rsidRPr="00586262" w:rsidRDefault="00B92696" w:rsidP="00B92696">
            <w:pPr>
              <w:spacing w:line="312" w:lineRule="auto"/>
              <w:rPr>
                <w:rFonts w:cs="Arial"/>
                <w:b/>
                <w:sz w:val="20"/>
                <w:szCs w:val="20"/>
                <w:shd w:val="clear" w:color="auto" w:fill="FFFFFF"/>
              </w:rPr>
            </w:pPr>
            <w:r w:rsidRPr="00586262">
              <w:rPr>
                <w:rFonts w:cs="Arial"/>
                <w:b/>
                <w:sz w:val="20"/>
                <w:szCs w:val="20"/>
                <w:shd w:val="clear" w:color="auto" w:fill="FFFFFF"/>
              </w:rPr>
              <w:t>ASSET OWNERS 2015</w:t>
            </w:r>
          </w:p>
        </w:tc>
      </w:tr>
      <w:tr w:rsidR="00452CF0">
        <w:tc>
          <w:tcPr>
            <w:tcW w:w="2037" w:type="dxa"/>
            <w:vMerge w:val="restart"/>
          </w:tcPr>
          <w:p w:rsidR="00452CF0" w:rsidRPr="00586262" w:rsidRDefault="00452CF0" w:rsidP="007B568B">
            <w:pPr>
              <w:spacing w:line="312" w:lineRule="auto"/>
              <w:rPr>
                <w:rFonts w:cs="Arial"/>
                <w:sz w:val="20"/>
                <w:szCs w:val="20"/>
                <w:shd w:val="clear" w:color="auto" w:fill="FFFFFF"/>
              </w:rPr>
            </w:pPr>
            <w:r w:rsidRPr="00586262">
              <w:rPr>
                <w:rFonts w:cs="Arial"/>
                <w:sz w:val="20"/>
                <w:szCs w:val="20"/>
                <w:shd w:val="clear" w:color="auto" w:fill="FFFFFF"/>
              </w:rPr>
              <w:t>LEADERS</w:t>
            </w: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AAA</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12</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1,141</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9</w:t>
            </w:r>
          </w:p>
        </w:tc>
      </w:tr>
      <w:tr w:rsidR="00452CF0">
        <w:tc>
          <w:tcPr>
            <w:tcW w:w="2037" w:type="dxa"/>
            <w:vMerge/>
          </w:tcPr>
          <w:p w:rsidR="00452CF0" w:rsidRPr="00586262" w:rsidRDefault="00452CF0" w:rsidP="007B568B">
            <w:pPr>
              <w:spacing w:line="312" w:lineRule="auto"/>
              <w:rPr>
                <w:rFonts w:cs="Arial"/>
                <w:sz w:val="20"/>
                <w:szCs w:val="20"/>
                <w:shd w:val="clear" w:color="auto" w:fill="FFFFFF"/>
              </w:rPr>
            </w:pP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AA</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8</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6</w:t>
            </w:r>
            <w:r w:rsidR="005C08C2">
              <w:rPr>
                <w:rFonts w:cs="Arial"/>
                <w:sz w:val="20"/>
                <w:szCs w:val="20"/>
                <w:shd w:val="clear" w:color="auto" w:fill="FFFFFF"/>
              </w:rPr>
              <w:t>4</w:t>
            </w:r>
            <w:r w:rsidRPr="00586262">
              <w:rPr>
                <w:rFonts w:cs="Arial"/>
                <w:sz w:val="20"/>
                <w:szCs w:val="20"/>
                <w:shd w:val="clear" w:color="auto" w:fill="FFFFFF"/>
              </w:rPr>
              <w:t>1</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7</w:t>
            </w:r>
          </w:p>
        </w:tc>
      </w:tr>
      <w:tr w:rsidR="00452CF0">
        <w:tc>
          <w:tcPr>
            <w:tcW w:w="2037" w:type="dxa"/>
            <w:vMerge/>
          </w:tcPr>
          <w:p w:rsidR="00452CF0" w:rsidRPr="00586262" w:rsidRDefault="00452CF0" w:rsidP="007B568B">
            <w:pPr>
              <w:spacing w:line="312" w:lineRule="auto"/>
              <w:rPr>
                <w:rFonts w:cs="Arial"/>
                <w:sz w:val="20"/>
                <w:szCs w:val="20"/>
                <w:shd w:val="clear" w:color="auto" w:fill="FFFFFF"/>
              </w:rPr>
            </w:pP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A</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11</w:t>
            </w:r>
          </w:p>
        </w:tc>
        <w:tc>
          <w:tcPr>
            <w:tcW w:w="2038" w:type="dxa"/>
          </w:tcPr>
          <w:p w:rsidR="00452CF0" w:rsidRPr="00586262" w:rsidRDefault="005C08C2" w:rsidP="00586262">
            <w:pPr>
              <w:spacing w:line="312" w:lineRule="auto"/>
              <w:jc w:val="right"/>
              <w:rPr>
                <w:rFonts w:cs="Arial"/>
                <w:sz w:val="20"/>
                <w:szCs w:val="20"/>
                <w:shd w:val="clear" w:color="auto" w:fill="FFFFFF"/>
              </w:rPr>
            </w:pPr>
            <w:r>
              <w:rPr>
                <w:rFonts w:cs="Arial"/>
                <w:sz w:val="20"/>
                <w:szCs w:val="20"/>
                <w:shd w:val="clear" w:color="auto" w:fill="FFFFFF"/>
              </w:rPr>
              <w:t>896</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8</w:t>
            </w:r>
          </w:p>
        </w:tc>
      </w:tr>
      <w:tr w:rsidR="00452CF0">
        <w:tc>
          <w:tcPr>
            <w:tcW w:w="2037" w:type="dxa"/>
            <w:vMerge w:val="restart"/>
          </w:tcPr>
          <w:p w:rsidR="00452CF0" w:rsidRPr="00586262" w:rsidRDefault="00452CF0" w:rsidP="007B568B">
            <w:pPr>
              <w:spacing w:line="312" w:lineRule="auto"/>
              <w:rPr>
                <w:rFonts w:cs="Arial"/>
                <w:sz w:val="20"/>
                <w:szCs w:val="20"/>
                <w:shd w:val="clear" w:color="auto" w:fill="FFFFFF"/>
              </w:rPr>
            </w:pPr>
            <w:r w:rsidRPr="00586262">
              <w:rPr>
                <w:rFonts w:cs="Arial"/>
                <w:sz w:val="20"/>
                <w:szCs w:val="20"/>
                <w:shd w:val="clear" w:color="auto" w:fill="FFFFFF"/>
              </w:rPr>
              <w:t>CHALLENGERS</w:t>
            </w: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BBB</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15</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2,280</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9</w:t>
            </w:r>
          </w:p>
        </w:tc>
      </w:tr>
      <w:tr w:rsidR="00452CF0">
        <w:tc>
          <w:tcPr>
            <w:tcW w:w="2037" w:type="dxa"/>
            <w:vMerge/>
          </w:tcPr>
          <w:p w:rsidR="00452CF0" w:rsidRPr="00586262" w:rsidRDefault="00452CF0" w:rsidP="007B568B">
            <w:pPr>
              <w:spacing w:line="312" w:lineRule="auto"/>
              <w:rPr>
                <w:rFonts w:cs="Arial"/>
                <w:sz w:val="20"/>
                <w:szCs w:val="20"/>
                <w:shd w:val="clear" w:color="auto" w:fill="FFFFFF"/>
              </w:rPr>
            </w:pP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BB</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4</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17</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9</w:t>
            </w:r>
          </w:p>
        </w:tc>
      </w:tr>
      <w:tr w:rsidR="00452CF0">
        <w:tc>
          <w:tcPr>
            <w:tcW w:w="2037" w:type="dxa"/>
            <w:vMerge/>
          </w:tcPr>
          <w:p w:rsidR="00452CF0" w:rsidRPr="00586262" w:rsidRDefault="00452CF0" w:rsidP="007B568B">
            <w:pPr>
              <w:spacing w:line="312" w:lineRule="auto"/>
              <w:rPr>
                <w:rFonts w:cs="Arial"/>
                <w:sz w:val="20"/>
                <w:szCs w:val="20"/>
                <w:shd w:val="clear" w:color="auto" w:fill="FFFFFF"/>
              </w:rPr>
            </w:pP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B</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6</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1,089</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8</w:t>
            </w:r>
          </w:p>
        </w:tc>
      </w:tr>
      <w:tr w:rsidR="00452CF0">
        <w:tc>
          <w:tcPr>
            <w:tcW w:w="2037" w:type="dxa"/>
            <w:vMerge w:val="restart"/>
          </w:tcPr>
          <w:p w:rsidR="00452CF0" w:rsidRPr="00586262" w:rsidRDefault="00452CF0" w:rsidP="007B568B">
            <w:pPr>
              <w:spacing w:line="312" w:lineRule="auto"/>
              <w:rPr>
                <w:rFonts w:cs="Arial"/>
                <w:sz w:val="20"/>
                <w:szCs w:val="20"/>
                <w:shd w:val="clear" w:color="auto" w:fill="FFFFFF"/>
              </w:rPr>
            </w:pPr>
            <w:r w:rsidRPr="00586262">
              <w:rPr>
                <w:rFonts w:cs="Arial"/>
                <w:sz w:val="20"/>
                <w:szCs w:val="20"/>
                <w:shd w:val="clear" w:color="auto" w:fill="FFFFFF"/>
              </w:rPr>
              <w:t>LEARNERS</w:t>
            </w: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CCC</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8</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570</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9</w:t>
            </w:r>
          </w:p>
        </w:tc>
      </w:tr>
      <w:tr w:rsidR="00452CF0">
        <w:tc>
          <w:tcPr>
            <w:tcW w:w="2037" w:type="dxa"/>
            <w:vMerge/>
          </w:tcPr>
          <w:p w:rsidR="00452CF0" w:rsidRPr="00586262" w:rsidRDefault="00452CF0" w:rsidP="007B568B">
            <w:pPr>
              <w:spacing w:line="312" w:lineRule="auto"/>
              <w:rPr>
                <w:rFonts w:cs="Arial"/>
                <w:sz w:val="20"/>
                <w:szCs w:val="20"/>
                <w:shd w:val="clear" w:color="auto" w:fill="FFFFFF"/>
              </w:rPr>
            </w:pP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CC</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17</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1,092</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9</w:t>
            </w:r>
          </w:p>
        </w:tc>
      </w:tr>
      <w:tr w:rsidR="00452CF0">
        <w:tc>
          <w:tcPr>
            <w:tcW w:w="2037" w:type="dxa"/>
            <w:vMerge/>
          </w:tcPr>
          <w:p w:rsidR="00452CF0" w:rsidRPr="00586262" w:rsidRDefault="00452CF0" w:rsidP="007B568B">
            <w:pPr>
              <w:spacing w:line="312" w:lineRule="auto"/>
              <w:rPr>
                <w:rFonts w:cs="Arial"/>
                <w:sz w:val="20"/>
                <w:szCs w:val="20"/>
                <w:shd w:val="clear" w:color="auto" w:fill="FFFFFF"/>
              </w:rPr>
            </w:pPr>
          </w:p>
        </w:tc>
        <w:tc>
          <w:tcPr>
            <w:tcW w:w="2037"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C</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16</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1,695</w:t>
            </w:r>
          </w:p>
        </w:tc>
        <w:tc>
          <w:tcPr>
            <w:tcW w:w="2038" w:type="dxa"/>
          </w:tcPr>
          <w:p w:rsidR="00452CF0" w:rsidRPr="00586262" w:rsidRDefault="00452CF0" w:rsidP="00586262">
            <w:pPr>
              <w:spacing w:line="312" w:lineRule="auto"/>
              <w:jc w:val="right"/>
              <w:rPr>
                <w:rFonts w:cs="Arial"/>
                <w:sz w:val="20"/>
                <w:szCs w:val="20"/>
                <w:shd w:val="clear" w:color="auto" w:fill="FFFFFF"/>
              </w:rPr>
            </w:pPr>
            <w:r w:rsidRPr="00586262">
              <w:rPr>
                <w:rFonts w:cs="Arial"/>
                <w:sz w:val="20"/>
                <w:szCs w:val="20"/>
                <w:shd w:val="clear" w:color="auto" w:fill="FFFFFF"/>
              </w:rPr>
              <w:t>9</w:t>
            </w:r>
          </w:p>
        </w:tc>
      </w:tr>
      <w:tr w:rsidR="00C43A75">
        <w:tc>
          <w:tcPr>
            <w:tcW w:w="2037" w:type="dxa"/>
          </w:tcPr>
          <w:p w:rsidR="00C43A75" w:rsidRPr="00586262" w:rsidRDefault="00C43A75" w:rsidP="00C43A75">
            <w:pPr>
              <w:spacing w:line="312" w:lineRule="auto"/>
              <w:rPr>
                <w:rFonts w:cs="Arial"/>
                <w:sz w:val="20"/>
                <w:szCs w:val="20"/>
                <w:shd w:val="clear" w:color="auto" w:fill="FFFFFF"/>
              </w:rPr>
            </w:pPr>
            <w:r w:rsidRPr="00586262">
              <w:rPr>
                <w:rFonts w:cs="Arial"/>
                <w:sz w:val="20"/>
                <w:szCs w:val="20"/>
                <w:shd w:val="clear" w:color="auto" w:fill="FFFFFF"/>
              </w:rPr>
              <w:t>BYSTANDERS</w:t>
            </w:r>
          </w:p>
        </w:tc>
        <w:tc>
          <w:tcPr>
            <w:tcW w:w="2037" w:type="dxa"/>
          </w:tcPr>
          <w:p w:rsidR="00C43A75" w:rsidRPr="00586262" w:rsidRDefault="00C43A75" w:rsidP="00C43A75">
            <w:pPr>
              <w:spacing w:line="312" w:lineRule="auto"/>
              <w:jc w:val="right"/>
              <w:rPr>
                <w:rFonts w:cs="Arial"/>
                <w:sz w:val="20"/>
                <w:szCs w:val="20"/>
                <w:shd w:val="clear" w:color="auto" w:fill="FFFFFF"/>
              </w:rPr>
            </w:pPr>
            <w:r w:rsidRPr="00586262">
              <w:rPr>
                <w:rFonts w:cs="Arial"/>
                <w:sz w:val="20"/>
                <w:szCs w:val="20"/>
                <w:shd w:val="clear" w:color="auto" w:fill="FFFFFF"/>
              </w:rPr>
              <w:t>D</w:t>
            </w:r>
          </w:p>
        </w:tc>
        <w:tc>
          <w:tcPr>
            <w:tcW w:w="2038" w:type="dxa"/>
          </w:tcPr>
          <w:p w:rsidR="00C43A75" w:rsidRPr="00586262" w:rsidRDefault="00C43A75" w:rsidP="00C43A75">
            <w:pPr>
              <w:spacing w:line="312" w:lineRule="auto"/>
              <w:jc w:val="right"/>
              <w:rPr>
                <w:rFonts w:cs="Arial"/>
                <w:sz w:val="20"/>
                <w:szCs w:val="20"/>
                <w:shd w:val="clear" w:color="auto" w:fill="FFFFFF"/>
              </w:rPr>
            </w:pPr>
            <w:r w:rsidRPr="00586262">
              <w:rPr>
                <w:rFonts w:cs="Arial"/>
                <w:sz w:val="20"/>
                <w:szCs w:val="20"/>
                <w:shd w:val="clear" w:color="auto" w:fill="FFFFFF"/>
              </w:rPr>
              <w:t>15</w:t>
            </w:r>
            <w:r>
              <w:rPr>
                <w:rFonts w:cs="Arial"/>
                <w:sz w:val="20"/>
                <w:szCs w:val="20"/>
                <w:shd w:val="clear" w:color="auto" w:fill="FFFFFF"/>
              </w:rPr>
              <w:t>7</w:t>
            </w:r>
          </w:p>
        </w:tc>
        <w:tc>
          <w:tcPr>
            <w:tcW w:w="2038" w:type="dxa"/>
          </w:tcPr>
          <w:p w:rsidR="00C43A75" w:rsidRPr="00586262" w:rsidRDefault="00C43A75" w:rsidP="00C43A75">
            <w:pPr>
              <w:spacing w:line="312" w:lineRule="auto"/>
              <w:jc w:val="right"/>
              <w:rPr>
                <w:rFonts w:cs="Arial"/>
                <w:sz w:val="20"/>
                <w:szCs w:val="20"/>
                <w:shd w:val="clear" w:color="auto" w:fill="FFFFFF"/>
              </w:rPr>
            </w:pPr>
            <w:r>
              <w:rPr>
                <w:rFonts w:cs="Arial"/>
                <w:sz w:val="20"/>
                <w:szCs w:val="20"/>
                <w:shd w:val="clear" w:color="auto" w:fill="FFFFFF"/>
              </w:rPr>
              <w:t>13,969</w:t>
            </w:r>
          </w:p>
        </w:tc>
        <w:tc>
          <w:tcPr>
            <w:tcW w:w="2038" w:type="dxa"/>
          </w:tcPr>
          <w:p w:rsidR="00C43A75" w:rsidRPr="00586262" w:rsidRDefault="00C43A75" w:rsidP="00C43A75">
            <w:pPr>
              <w:spacing w:line="312" w:lineRule="auto"/>
              <w:jc w:val="right"/>
              <w:rPr>
                <w:rFonts w:cs="Arial"/>
                <w:sz w:val="20"/>
                <w:szCs w:val="20"/>
                <w:shd w:val="clear" w:color="auto" w:fill="FFFFFF"/>
              </w:rPr>
            </w:pPr>
            <w:r w:rsidRPr="00586262">
              <w:rPr>
                <w:rFonts w:cs="Arial"/>
                <w:sz w:val="20"/>
                <w:szCs w:val="20"/>
                <w:shd w:val="clear" w:color="auto" w:fill="FFFFFF"/>
              </w:rPr>
              <w:t>191</w:t>
            </w:r>
          </w:p>
        </w:tc>
      </w:tr>
      <w:tr w:rsidR="00B90715">
        <w:tc>
          <w:tcPr>
            <w:tcW w:w="2037" w:type="dxa"/>
          </w:tcPr>
          <w:p w:rsidR="00B90715" w:rsidRPr="00586262" w:rsidRDefault="00B90715" w:rsidP="00B90715">
            <w:pPr>
              <w:spacing w:line="312" w:lineRule="auto"/>
              <w:rPr>
                <w:rFonts w:cs="Arial"/>
                <w:sz w:val="20"/>
                <w:szCs w:val="20"/>
                <w:shd w:val="clear" w:color="auto" w:fill="FFFFFF"/>
              </w:rPr>
            </w:pPr>
            <w:r w:rsidRPr="00586262">
              <w:rPr>
                <w:rFonts w:cs="Arial"/>
                <w:sz w:val="20"/>
                <w:szCs w:val="20"/>
                <w:shd w:val="clear" w:color="auto" w:fill="FFFFFF"/>
              </w:rPr>
              <w:t>LAGGARDS</w:t>
            </w:r>
          </w:p>
        </w:tc>
        <w:tc>
          <w:tcPr>
            <w:tcW w:w="2037" w:type="dxa"/>
          </w:tcPr>
          <w:p w:rsidR="00B90715" w:rsidRPr="00586262" w:rsidRDefault="00B90715" w:rsidP="00B90715">
            <w:pPr>
              <w:spacing w:line="312" w:lineRule="auto"/>
              <w:jc w:val="right"/>
              <w:rPr>
                <w:rFonts w:cs="Arial"/>
                <w:sz w:val="20"/>
                <w:szCs w:val="20"/>
                <w:shd w:val="clear" w:color="auto" w:fill="FFFFFF"/>
              </w:rPr>
            </w:pPr>
            <w:r w:rsidRPr="00586262">
              <w:rPr>
                <w:rFonts w:cs="Arial"/>
                <w:sz w:val="20"/>
                <w:szCs w:val="20"/>
                <w:shd w:val="clear" w:color="auto" w:fill="FFFFFF"/>
              </w:rPr>
              <w:t>X</w:t>
            </w:r>
          </w:p>
        </w:tc>
        <w:tc>
          <w:tcPr>
            <w:tcW w:w="2038" w:type="dxa"/>
          </w:tcPr>
          <w:p w:rsidR="00B90715" w:rsidRPr="00586262" w:rsidRDefault="00B90715" w:rsidP="00B90715">
            <w:pPr>
              <w:spacing w:line="312" w:lineRule="auto"/>
              <w:jc w:val="right"/>
              <w:rPr>
                <w:rFonts w:cs="Arial"/>
                <w:sz w:val="20"/>
                <w:szCs w:val="20"/>
                <w:shd w:val="clear" w:color="auto" w:fill="FFFFFF"/>
              </w:rPr>
            </w:pPr>
            <w:r w:rsidRPr="00586262">
              <w:rPr>
                <w:rFonts w:cs="Arial"/>
                <w:sz w:val="20"/>
                <w:szCs w:val="20"/>
                <w:shd w:val="clear" w:color="auto" w:fill="FFFFFF"/>
              </w:rPr>
              <w:t>24</w:t>
            </w:r>
            <w:r>
              <w:rPr>
                <w:rFonts w:cs="Arial"/>
                <w:sz w:val="20"/>
                <w:szCs w:val="20"/>
                <w:shd w:val="clear" w:color="auto" w:fill="FFFFFF"/>
              </w:rPr>
              <w:t>6</w:t>
            </w:r>
          </w:p>
        </w:tc>
        <w:tc>
          <w:tcPr>
            <w:tcW w:w="2038" w:type="dxa"/>
          </w:tcPr>
          <w:p w:rsidR="00B90715" w:rsidRPr="00586262" w:rsidRDefault="00B90715" w:rsidP="00B90715">
            <w:pPr>
              <w:spacing w:line="312" w:lineRule="auto"/>
              <w:jc w:val="right"/>
              <w:rPr>
                <w:rFonts w:cs="Arial"/>
                <w:sz w:val="20"/>
                <w:szCs w:val="20"/>
                <w:shd w:val="clear" w:color="auto" w:fill="FFFFFF"/>
              </w:rPr>
            </w:pPr>
            <w:r>
              <w:rPr>
                <w:rFonts w:cs="Arial"/>
                <w:sz w:val="20"/>
                <w:szCs w:val="20"/>
                <w:shd w:val="clear" w:color="auto" w:fill="FFFFFF"/>
              </w:rPr>
              <w:t>14,348</w:t>
            </w:r>
          </w:p>
        </w:tc>
        <w:tc>
          <w:tcPr>
            <w:tcW w:w="2038" w:type="dxa"/>
          </w:tcPr>
          <w:p w:rsidR="00B90715" w:rsidRPr="00586262" w:rsidRDefault="00B90715" w:rsidP="00B90715">
            <w:pPr>
              <w:spacing w:line="312" w:lineRule="auto"/>
              <w:jc w:val="right"/>
              <w:rPr>
                <w:rFonts w:cs="Arial"/>
                <w:sz w:val="20"/>
                <w:szCs w:val="20"/>
                <w:shd w:val="clear" w:color="auto" w:fill="FFFFFF"/>
              </w:rPr>
            </w:pPr>
            <w:r w:rsidRPr="00586262">
              <w:rPr>
                <w:rFonts w:cs="Arial"/>
                <w:sz w:val="20"/>
                <w:szCs w:val="20"/>
                <w:shd w:val="clear" w:color="auto" w:fill="FFFFFF"/>
              </w:rPr>
              <w:t>232</w:t>
            </w:r>
          </w:p>
        </w:tc>
      </w:tr>
      <w:tr w:rsidR="00B90715">
        <w:tc>
          <w:tcPr>
            <w:tcW w:w="2037" w:type="dxa"/>
          </w:tcPr>
          <w:p w:rsidR="00B90715" w:rsidRPr="00586262" w:rsidRDefault="00B90715" w:rsidP="00B90715">
            <w:pPr>
              <w:spacing w:line="312" w:lineRule="auto"/>
              <w:rPr>
                <w:rFonts w:cs="Arial"/>
                <w:sz w:val="20"/>
                <w:szCs w:val="20"/>
                <w:shd w:val="clear" w:color="auto" w:fill="FFFFFF"/>
              </w:rPr>
            </w:pPr>
            <w:r w:rsidRPr="00586262">
              <w:rPr>
                <w:rFonts w:cs="Arial"/>
                <w:sz w:val="20"/>
                <w:szCs w:val="20"/>
                <w:shd w:val="clear" w:color="auto" w:fill="FFFFFF"/>
              </w:rPr>
              <w:t>TOTAL</w:t>
            </w:r>
          </w:p>
        </w:tc>
        <w:tc>
          <w:tcPr>
            <w:tcW w:w="2037" w:type="dxa"/>
          </w:tcPr>
          <w:p w:rsidR="00B90715" w:rsidRPr="00586262" w:rsidRDefault="00B90715" w:rsidP="00B90715">
            <w:pPr>
              <w:spacing w:line="312" w:lineRule="auto"/>
              <w:jc w:val="right"/>
              <w:rPr>
                <w:rFonts w:cs="Arial"/>
                <w:sz w:val="20"/>
                <w:szCs w:val="20"/>
                <w:shd w:val="clear" w:color="auto" w:fill="FFFFFF"/>
              </w:rPr>
            </w:pPr>
          </w:p>
        </w:tc>
        <w:tc>
          <w:tcPr>
            <w:tcW w:w="2038" w:type="dxa"/>
          </w:tcPr>
          <w:p w:rsidR="00B90715" w:rsidRPr="00586262" w:rsidRDefault="00B90715" w:rsidP="00B90715">
            <w:pPr>
              <w:spacing w:line="312" w:lineRule="auto"/>
              <w:jc w:val="right"/>
              <w:rPr>
                <w:rFonts w:cs="Arial"/>
                <w:b/>
                <w:sz w:val="20"/>
                <w:szCs w:val="20"/>
                <w:shd w:val="clear" w:color="auto" w:fill="FFFFFF"/>
              </w:rPr>
            </w:pPr>
            <w:r w:rsidRPr="00586262">
              <w:rPr>
                <w:rFonts w:cs="Arial"/>
                <w:b/>
                <w:sz w:val="20"/>
                <w:szCs w:val="20"/>
                <w:shd w:val="clear" w:color="auto" w:fill="FFFFFF"/>
              </w:rPr>
              <w:t>500</w:t>
            </w:r>
          </w:p>
        </w:tc>
        <w:tc>
          <w:tcPr>
            <w:tcW w:w="2038" w:type="dxa"/>
          </w:tcPr>
          <w:p w:rsidR="00B90715" w:rsidRPr="00586262" w:rsidRDefault="00B90715" w:rsidP="00B90715">
            <w:pPr>
              <w:spacing w:line="312" w:lineRule="auto"/>
              <w:jc w:val="right"/>
              <w:rPr>
                <w:rFonts w:cs="Arial"/>
                <w:b/>
                <w:sz w:val="20"/>
                <w:szCs w:val="20"/>
                <w:shd w:val="clear" w:color="auto" w:fill="FFFFFF"/>
              </w:rPr>
            </w:pPr>
            <w:r w:rsidRPr="00586262">
              <w:rPr>
                <w:rFonts w:cs="Arial"/>
                <w:b/>
                <w:sz w:val="20"/>
                <w:szCs w:val="20"/>
                <w:shd w:val="clear" w:color="auto" w:fill="FFFFFF"/>
              </w:rPr>
              <w:t>37,</w:t>
            </w:r>
            <w:r>
              <w:rPr>
                <w:rFonts w:cs="Arial"/>
                <w:b/>
                <w:sz w:val="20"/>
                <w:szCs w:val="20"/>
                <w:shd w:val="clear" w:color="auto" w:fill="FFFFFF"/>
              </w:rPr>
              <w:t>737</w:t>
            </w:r>
          </w:p>
        </w:tc>
        <w:tc>
          <w:tcPr>
            <w:tcW w:w="2038" w:type="dxa"/>
          </w:tcPr>
          <w:p w:rsidR="00B90715" w:rsidRPr="00586262" w:rsidRDefault="00B90715" w:rsidP="00B90715">
            <w:pPr>
              <w:spacing w:line="312" w:lineRule="auto"/>
              <w:jc w:val="right"/>
              <w:rPr>
                <w:rFonts w:cs="Arial"/>
                <w:b/>
                <w:sz w:val="20"/>
                <w:szCs w:val="20"/>
                <w:shd w:val="clear" w:color="auto" w:fill="FFFFFF"/>
              </w:rPr>
            </w:pPr>
            <w:r w:rsidRPr="00586262">
              <w:rPr>
                <w:rFonts w:cs="Arial"/>
                <w:b/>
                <w:sz w:val="20"/>
                <w:szCs w:val="20"/>
                <w:shd w:val="clear" w:color="auto" w:fill="FFFFFF"/>
              </w:rPr>
              <w:t>500</w:t>
            </w:r>
          </w:p>
        </w:tc>
      </w:tr>
    </w:tbl>
    <w:p w:rsidR="00FE2A15" w:rsidRDefault="00FE2A15" w:rsidP="007B568B">
      <w:pPr>
        <w:spacing w:after="0" w:line="312" w:lineRule="auto"/>
        <w:rPr>
          <w:rFonts w:cs="Arial"/>
          <w:shd w:val="clear" w:color="auto" w:fill="FFFFFF"/>
        </w:rPr>
      </w:pPr>
    </w:p>
    <w:p w:rsidR="00BE20C9" w:rsidRPr="0088732D" w:rsidRDefault="00BE20C9" w:rsidP="00C20AC4">
      <w:pPr>
        <w:spacing w:after="0" w:line="312" w:lineRule="auto"/>
        <w:rPr>
          <w:rFonts w:cs="Arial"/>
          <w:sz w:val="20"/>
          <w:shd w:val="clear" w:color="auto" w:fill="FFFFFF"/>
        </w:rPr>
      </w:pPr>
    </w:p>
    <w:sectPr w:rsidR="00BE20C9" w:rsidRPr="0088732D" w:rsidSect="00B46AE3">
      <w:headerReference w:type="default" r:id="rId12"/>
      <w:footerReference w:type="default" r:id="rId13"/>
      <w:pgSz w:w="12240" w:h="15840"/>
      <w:pgMar w:top="720" w:right="1021" w:bottom="720" w:left="1021"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7607C" w:rsidRDefault="0037607C" w:rsidP="00B46AE3">
      <w:pPr>
        <w:spacing w:after="0" w:line="240" w:lineRule="auto"/>
      </w:pPr>
      <w:r>
        <w:separator/>
      </w:r>
    </w:p>
  </w:endnote>
  <w:endnote w:type="continuationSeparator" w:id="1">
    <w:p w:rsidR="0037607C" w:rsidRDefault="0037607C" w:rsidP="00B46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Helvetica">
    <w:panose1 w:val="00000000000000000000"/>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81939106"/>
      <w:docPartObj>
        <w:docPartGallery w:val="Page Numbers (Bottom of Page)"/>
        <w:docPartUnique/>
      </w:docPartObj>
    </w:sdtPr>
    <w:sdtEndPr>
      <w:rPr>
        <w:noProof/>
      </w:rPr>
    </w:sdtEndPr>
    <w:sdtContent>
      <w:p w:rsidR="00205477" w:rsidRDefault="00150A83">
        <w:pPr>
          <w:pStyle w:val="Footer"/>
          <w:jc w:val="right"/>
        </w:pPr>
        <w:fldSimple w:instr=" PAGE   \* MERGEFORMAT ">
          <w:r w:rsidR="00486667">
            <w:rPr>
              <w:noProof/>
            </w:rPr>
            <w:t>7</w:t>
          </w:r>
        </w:fldSimple>
      </w:p>
    </w:sdtContent>
  </w:sdt>
  <w:p w:rsidR="00205477" w:rsidRDefault="0020547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7607C" w:rsidRDefault="0037607C" w:rsidP="00B46AE3">
      <w:pPr>
        <w:spacing w:after="0" w:line="240" w:lineRule="auto"/>
      </w:pPr>
      <w:r>
        <w:separator/>
      </w:r>
    </w:p>
  </w:footnote>
  <w:footnote w:type="continuationSeparator" w:id="1">
    <w:p w:rsidR="0037607C" w:rsidRDefault="0037607C" w:rsidP="00B46AE3">
      <w:pPr>
        <w:spacing w:after="0" w:line="240" w:lineRule="auto"/>
      </w:pPr>
      <w:r>
        <w:continuationSeparator/>
      </w:r>
    </w:p>
  </w:footnote>
  <w:footnote w:id="2">
    <w:p w:rsidR="00205477" w:rsidRDefault="00205477" w:rsidP="00F371D9">
      <w:pPr>
        <w:spacing w:after="0" w:line="312" w:lineRule="auto"/>
      </w:pPr>
      <w:r>
        <w:rPr>
          <w:rStyle w:val="FootnoteReference"/>
        </w:rPr>
        <w:footnoteRef/>
      </w:r>
      <w:r>
        <w:t xml:space="preserve"> </w:t>
      </w:r>
      <w:r w:rsidRPr="0088732D">
        <w:rPr>
          <w:sz w:val="20"/>
          <w:szCs w:val="20"/>
        </w:rPr>
        <w:t xml:space="preserve">Willis Towers Watson: Global Pensions Assets Study, 2016. </w:t>
      </w:r>
      <w:r>
        <w:rPr>
          <w:sz w:val="20"/>
          <w:szCs w:val="20"/>
        </w:rPr>
        <w:t xml:space="preserve">Seven countries account for nearly $33trn of pensions investment: </w:t>
      </w:r>
      <w:r w:rsidRPr="0088732D">
        <w:rPr>
          <w:rFonts w:cs="Arial"/>
          <w:sz w:val="20"/>
          <w:szCs w:val="20"/>
          <w:shd w:val="clear" w:color="auto" w:fill="FFFFFF"/>
        </w:rPr>
        <w:t>The</w:t>
      </w:r>
      <w:r w:rsidRPr="00E83616">
        <w:rPr>
          <w:rFonts w:cs="Arial"/>
          <w:sz w:val="20"/>
          <w:shd w:val="clear" w:color="auto" w:fill="FFFFFF"/>
        </w:rPr>
        <w:t xml:space="preserve"> US is by far the biggest with $21.8trn, followed by: UK, $3.2trn; Japan, $2.7trn; Canada, $1.5trn; Australia, 1.5trn; Netherlands, $1.4trn; Switzerland, $0.8trn. </w:t>
      </w:r>
      <w:r w:rsidRPr="00E83616">
        <w:rPr>
          <w:rStyle w:val="FootnoteReference"/>
          <w:rFonts w:cs="Arial"/>
          <w:sz w:val="20"/>
          <w:shd w:val="clear" w:color="auto" w:fill="FFFFFF"/>
        </w:rPr>
        <w:footnoteRef/>
      </w:r>
    </w:p>
  </w:footnote>
  <w:footnote w:id="3">
    <w:p w:rsidR="00205477" w:rsidRDefault="00205477" w:rsidP="00F371D9">
      <w:pPr>
        <w:pStyle w:val="FootnoteText"/>
      </w:pPr>
      <w:r w:rsidRPr="00A31BD4">
        <w:rPr>
          <w:rStyle w:val="FootnoteReference"/>
        </w:rPr>
        <w:footnoteRef/>
      </w:r>
      <w:r w:rsidRPr="00A31BD4">
        <w:t xml:space="preserve"> Financial Times: </w:t>
      </w:r>
      <w:hyperlink r:id="rId1" w:anchor="axzz46S0ngn27" w:history="1">
        <w:r w:rsidRPr="00A31BD4">
          <w:rPr>
            <w:rStyle w:val="Hyperlink"/>
          </w:rPr>
          <w:t>Mark Carney warns investors face ‘huge’ climate change losses</w:t>
        </w:r>
      </w:hyperlink>
      <w:r w:rsidRPr="00A31BD4">
        <w:t>, 29-9-15</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05477" w:rsidRDefault="00205477">
    <w:pPr>
      <w:pStyle w:val="Header"/>
    </w:pPr>
    <w:r>
      <w:rPr>
        <w:rFonts w:ascii="Helvetica" w:hAnsi="Helvetica"/>
        <w:b/>
        <w:noProof/>
        <w:sz w:val="28"/>
      </w:rPr>
      <w:drawing>
        <wp:inline distT="0" distB="0" distL="0" distR="0">
          <wp:extent cx="996752" cy="754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DP_BLACK LOGO.tif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1020937" cy="772684"/>
                  </a:xfrm>
                  <a:prstGeom prst="rect">
                    <a:avLst/>
                  </a:prstGeom>
                </pic:spPr>
              </pic:pic>
            </a:graphicData>
          </a:graphic>
        </wp:inline>
      </w:drawing>
    </w:r>
    <w:r>
      <w:t xml:space="preserve">              </w:t>
    </w:r>
  </w:p>
  <w:p w:rsidR="00205477" w:rsidRDefault="0020547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E6981"/>
    <w:multiLevelType w:val="hybridMultilevel"/>
    <w:tmpl w:val="98EAB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DA53F0"/>
    <w:multiLevelType w:val="hybridMultilevel"/>
    <w:tmpl w:val="42E0DD0A"/>
    <w:lvl w:ilvl="0" w:tplc="95FEC7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C450F"/>
    <w:multiLevelType w:val="hybridMultilevel"/>
    <w:tmpl w:val="456A6460"/>
    <w:lvl w:ilvl="0" w:tplc="EC88B15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7F4E70"/>
    <w:multiLevelType w:val="hybridMultilevel"/>
    <w:tmpl w:val="E1F87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7D45C8"/>
    <w:multiLevelType w:val="hybridMultilevel"/>
    <w:tmpl w:val="C59A5946"/>
    <w:lvl w:ilvl="0" w:tplc="3362AA90">
      <w:start w:val="20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FC0DFE"/>
    <w:multiLevelType w:val="hybridMultilevel"/>
    <w:tmpl w:val="D2EC2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1042769"/>
    <w:multiLevelType w:val="hybridMultilevel"/>
    <w:tmpl w:val="24F2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6C4049"/>
    <w:multiLevelType w:val="hybridMultilevel"/>
    <w:tmpl w:val="01B00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B12CC4"/>
    <w:rsid w:val="000144ED"/>
    <w:rsid w:val="000353F3"/>
    <w:rsid w:val="00045F39"/>
    <w:rsid w:val="00061C64"/>
    <w:rsid w:val="00066FF5"/>
    <w:rsid w:val="00071D86"/>
    <w:rsid w:val="00072AEE"/>
    <w:rsid w:val="000A225D"/>
    <w:rsid w:val="000A6420"/>
    <w:rsid w:val="000C3F6C"/>
    <w:rsid w:val="000E13CE"/>
    <w:rsid w:val="000E6A3D"/>
    <w:rsid w:val="000F4915"/>
    <w:rsid w:val="00150A83"/>
    <w:rsid w:val="001630E1"/>
    <w:rsid w:val="00195425"/>
    <w:rsid w:val="001A2DE6"/>
    <w:rsid w:val="001A31DA"/>
    <w:rsid w:val="001A43EC"/>
    <w:rsid w:val="001B7C9C"/>
    <w:rsid w:val="001C534A"/>
    <w:rsid w:val="001D76A7"/>
    <w:rsid w:val="001E54DC"/>
    <w:rsid w:val="00205477"/>
    <w:rsid w:val="0021158E"/>
    <w:rsid w:val="00227680"/>
    <w:rsid w:val="002339AA"/>
    <w:rsid w:val="00241BAE"/>
    <w:rsid w:val="00276BC3"/>
    <w:rsid w:val="00297F9D"/>
    <w:rsid w:val="002B2202"/>
    <w:rsid w:val="002D45D1"/>
    <w:rsid w:val="002D579B"/>
    <w:rsid w:val="002D7D46"/>
    <w:rsid w:val="002F7D0F"/>
    <w:rsid w:val="003025B6"/>
    <w:rsid w:val="00307676"/>
    <w:rsid w:val="003100B0"/>
    <w:rsid w:val="003275C5"/>
    <w:rsid w:val="00343A50"/>
    <w:rsid w:val="00357093"/>
    <w:rsid w:val="00370E4A"/>
    <w:rsid w:val="00372B72"/>
    <w:rsid w:val="0037607C"/>
    <w:rsid w:val="0037681B"/>
    <w:rsid w:val="003769FB"/>
    <w:rsid w:val="003A0A08"/>
    <w:rsid w:val="003B10C7"/>
    <w:rsid w:val="003C200D"/>
    <w:rsid w:val="003C5CB2"/>
    <w:rsid w:val="003E0BE5"/>
    <w:rsid w:val="003F320D"/>
    <w:rsid w:val="0040216E"/>
    <w:rsid w:val="0040516E"/>
    <w:rsid w:val="00410BF3"/>
    <w:rsid w:val="0041113D"/>
    <w:rsid w:val="00417BB0"/>
    <w:rsid w:val="00427BDB"/>
    <w:rsid w:val="0043130D"/>
    <w:rsid w:val="00452CF0"/>
    <w:rsid w:val="004550FD"/>
    <w:rsid w:val="00457500"/>
    <w:rsid w:val="00471178"/>
    <w:rsid w:val="00486667"/>
    <w:rsid w:val="004921BD"/>
    <w:rsid w:val="004B2642"/>
    <w:rsid w:val="004B7B8F"/>
    <w:rsid w:val="004B7E3F"/>
    <w:rsid w:val="004F1E7F"/>
    <w:rsid w:val="004F35B6"/>
    <w:rsid w:val="004F5CB4"/>
    <w:rsid w:val="00536FBD"/>
    <w:rsid w:val="00574CB4"/>
    <w:rsid w:val="00586262"/>
    <w:rsid w:val="005B45DC"/>
    <w:rsid w:val="005B7FE4"/>
    <w:rsid w:val="005C08C2"/>
    <w:rsid w:val="005C0AF7"/>
    <w:rsid w:val="005D3666"/>
    <w:rsid w:val="005D441F"/>
    <w:rsid w:val="005E2C57"/>
    <w:rsid w:val="005E5384"/>
    <w:rsid w:val="005F0B0B"/>
    <w:rsid w:val="005F1DBD"/>
    <w:rsid w:val="005F5B7C"/>
    <w:rsid w:val="0060556F"/>
    <w:rsid w:val="0065127E"/>
    <w:rsid w:val="00662854"/>
    <w:rsid w:val="006773D1"/>
    <w:rsid w:val="006903E9"/>
    <w:rsid w:val="0069165E"/>
    <w:rsid w:val="00692BCD"/>
    <w:rsid w:val="006C3032"/>
    <w:rsid w:val="006D7799"/>
    <w:rsid w:val="006E7AE4"/>
    <w:rsid w:val="006F0ED7"/>
    <w:rsid w:val="006F4FC8"/>
    <w:rsid w:val="00725759"/>
    <w:rsid w:val="00725A92"/>
    <w:rsid w:val="00726C13"/>
    <w:rsid w:val="00727E26"/>
    <w:rsid w:val="007405D7"/>
    <w:rsid w:val="00740B3E"/>
    <w:rsid w:val="007526F9"/>
    <w:rsid w:val="00757273"/>
    <w:rsid w:val="0077167F"/>
    <w:rsid w:val="007716C4"/>
    <w:rsid w:val="0079426E"/>
    <w:rsid w:val="00795CE3"/>
    <w:rsid w:val="007B568B"/>
    <w:rsid w:val="007C3D61"/>
    <w:rsid w:val="007E0E6D"/>
    <w:rsid w:val="00812EAA"/>
    <w:rsid w:val="008418F3"/>
    <w:rsid w:val="0084564F"/>
    <w:rsid w:val="008457B9"/>
    <w:rsid w:val="00854B5F"/>
    <w:rsid w:val="0087622A"/>
    <w:rsid w:val="008860CC"/>
    <w:rsid w:val="0088732D"/>
    <w:rsid w:val="00893CEE"/>
    <w:rsid w:val="008A0974"/>
    <w:rsid w:val="00914BC2"/>
    <w:rsid w:val="009165BF"/>
    <w:rsid w:val="0092131A"/>
    <w:rsid w:val="009A3B59"/>
    <w:rsid w:val="009B5E2B"/>
    <w:rsid w:val="009D3E31"/>
    <w:rsid w:val="009D4BAA"/>
    <w:rsid w:val="009D5BF5"/>
    <w:rsid w:val="009F5F11"/>
    <w:rsid w:val="009F7448"/>
    <w:rsid w:val="00A04A4C"/>
    <w:rsid w:val="00A05562"/>
    <w:rsid w:val="00A1281E"/>
    <w:rsid w:val="00A13D2D"/>
    <w:rsid w:val="00A1529B"/>
    <w:rsid w:val="00A21394"/>
    <w:rsid w:val="00A23CB0"/>
    <w:rsid w:val="00A31BD4"/>
    <w:rsid w:val="00A43133"/>
    <w:rsid w:val="00A5632E"/>
    <w:rsid w:val="00A5708C"/>
    <w:rsid w:val="00A77E80"/>
    <w:rsid w:val="00A83F0F"/>
    <w:rsid w:val="00A903DC"/>
    <w:rsid w:val="00AB44BA"/>
    <w:rsid w:val="00AB7C04"/>
    <w:rsid w:val="00AC1E5E"/>
    <w:rsid w:val="00AE02EE"/>
    <w:rsid w:val="00AF3019"/>
    <w:rsid w:val="00B12CC4"/>
    <w:rsid w:val="00B134C7"/>
    <w:rsid w:val="00B36574"/>
    <w:rsid w:val="00B46AE3"/>
    <w:rsid w:val="00B53AFB"/>
    <w:rsid w:val="00B6144B"/>
    <w:rsid w:val="00B81E4D"/>
    <w:rsid w:val="00B87B16"/>
    <w:rsid w:val="00B90715"/>
    <w:rsid w:val="00B92696"/>
    <w:rsid w:val="00BA491F"/>
    <w:rsid w:val="00BA4E13"/>
    <w:rsid w:val="00BA724C"/>
    <w:rsid w:val="00BC606B"/>
    <w:rsid w:val="00BD78FA"/>
    <w:rsid w:val="00BD7952"/>
    <w:rsid w:val="00BE20C9"/>
    <w:rsid w:val="00BF5BB5"/>
    <w:rsid w:val="00BF6025"/>
    <w:rsid w:val="00C00AD5"/>
    <w:rsid w:val="00C0399A"/>
    <w:rsid w:val="00C114FB"/>
    <w:rsid w:val="00C20AC4"/>
    <w:rsid w:val="00C26080"/>
    <w:rsid w:val="00C35D53"/>
    <w:rsid w:val="00C43A75"/>
    <w:rsid w:val="00C84E39"/>
    <w:rsid w:val="00C948DC"/>
    <w:rsid w:val="00C9619A"/>
    <w:rsid w:val="00C974B9"/>
    <w:rsid w:val="00CA1DFB"/>
    <w:rsid w:val="00CA49EC"/>
    <w:rsid w:val="00CB134A"/>
    <w:rsid w:val="00CD0C08"/>
    <w:rsid w:val="00CE5846"/>
    <w:rsid w:val="00CF1447"/>
    <w:rsid w:val="00CF62AA"/>
    <w:rsid w:val="00D255FD"/>
    <w:rsid w:val="00D468A2"/>
    <w:rsid w:val="00D81704"/>
    <w:rsid w:val="00DC70A8"/>
    <w:rsid w:val="00DD2303"/>
    <w:rsid w:val="00E11B31"/>
    <w:rsid w:val="00E27DB2"/>
    <w:rsid w:val="00E56F9B"/>
    <w:rsid w:val="00E66A95"/>
    <w:rsid w:val="00E81B1C"/>
    <w:rsid w:val="00E82C8C"/>
    <w:rsid w:val="00E93EA4"/>
    <w:rsid w:val="00E966E5"/>
    <w:rsid w:val="00EC2B59"/>
    <w:rsid w:val="00EC7F29"/>
    <w:rsid w:val="00ED428D"/>
    <w:rsid w:val="00F02F3B"/>
    <w:rsid w:val="00F036EE"/>
    <w:rsid w:val="00F14C57"/>
    <w:rsid w:val="00F371D9"/>
    <w:rsid w:val="00F551AE"/>
    <w:rsid w:val="00F551BC"/>
    <w:rsid w:val="00F63FC3"/>
    <w:rsid w:val="00F67F55"/>
    <w:rsid w:val="00F977F3"/>
    <w:rsid w:val="00FA1DB8"/>
    <w:rsid w:val="00FA3D3D"/>
    <w:rsid w:val="00FB23CA"/>
    <w:rsid w:val="00FD0F98"/>
    <w:rsid w:val="00FD689A"/>
    <w:rsid w:val="00FE2A15"/>
    <w:rsid w:val="00FF7C6B"/>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footnote reference" w:uiPriority="99"/>
  </w:latentStyles>
  <w:style w:type="paragraph" w:default="1" w:styleId="Normal">
    <w:name w:val="Normal"/>
    <w:qFormat/>
    <w:rsid w:val="00F3030D"/>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690DDA"/>
    <w:rPr>
      <w:rFonts w:ascii="Lucida Grande" w:hAnsi="Lucida Grande"/>
      <w:sz w:val="18"/>
      <w:szCs w:val="18"/>
    </w:rPr>
  </w:style>
  <w:style w:type="character" w:customStyle="1" w:styleId="BalloonTextChar">
    <w:name w:val="Balloon Text Char"/>
    <w:basedOn w:val="DefaultParagraphFont"/>
    <w:uiPriority w:val="99"/>
    <w:semiHidden/>
    <w:rsid w:val="0061783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90DDA"/>
    <w:rPr>
      <w:rFonts w:ascii="Lucida Grande" w:hAnsi="Lucida Grande"/>
      <w:sz w:val="18"/>
      <w:szCs w:val="18"/>
    </w:rPr>
  </w:style>
  <w:style w:type="character" w:styleId="Hyperlink">
    <w:name w:val="Hyperlink"/>
    <w:basedOn w:val="DefaultParagraphFont"/>
    <w:uiPriority w:val="99"/>
    <w:unhideWhenUsed/>
    <w:rsid w:val="00DC568E"/>
    <w:rPr>
      <w:color w:val="0563C1" w:themeColor="hyperlink"/>
      <w:u w:val="single"/>
    </w:rPr>
  </w:style>
  <w:style w:type="paragraph" w:styleId="ListParagraph">
    <w:name w:val="List Paragraph"/>
    <w:basedOn w:val="Normal"/>
    <w:uiPriority w:val="34"/>
    <w:qFormat/>
    <w:rsid w:val="005A5F97"/>
    <w:pPr>
      <w:ind w:left="720"/>
      <w:contextualSpacing/>
    </w:pPr>
  </w:style>
  <w:style w:type="paragraph" w:styleId="Header">
    <w:name w:val="header"/>
    <w:basedOn w:val="Normal"/>
    <w:link w:val="HeaderChar"/>
    <w:uiPriority w:val="99"/>
    <w:unhideWhenUsed/>
    <w:rsid w:val="005C0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7A4"/>
  </w:style>
  <w:style w:type="paragraph" w:styleId="Footer">
    <w:name w:val="footer"/>
    <w:basedOn w:val="Normal"/>
    <w:link w:val="FooterChar"/>
    <w:uiPriority w:val="99"/>
    <w:unhideWhenUsed/>
    <w:rsid w:val="005C0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7A4"/>
  </w:style>
  <w:style w:type="character" w:styleId="CommentReference">
    <w:name w:val="annotation reference"/>
    <w:basedOn w:val="DefaultParagraphFont"/>
    <w:uiPriority w:val="99"/>
    <w:semiHidden/>
    <w:unhideWhenUsed/>
    <w:rsid w:val="009B2BDE"/>
    <w:rPr>
      <w:sz w:val="16"/>
      <w:szCs w:val="16"/>
    </w:rPr>
  </w:style>
  <w:style w:type="paragraph" w:styleId="CommentText">
    <w:name w:val="annotation text"/>
    <w:basedOn w:val="Normal"/>
    <w:link w:val="CommentTextChar"/>
    <w:uiPriority w:val="99"/>
    <w:semiHidden/>
    <w:unhideWhenUsed/>
    <w:rsid w:val="009B2BDE"/>
    <w:pPr>
      <w:spacing w:line="240" w:lineRule="auto"/>
    </w:pPr>
    <w:rPr>
      <w:sz w:val="20"/>
      <w:szCs w:val="20"/>
    </w:rPr>
  </w:style>
  <w:style w:type="character" w:customStyle="1" w:styleId="CommentTextChar">
    <w:name w:val="Comment Text Char"/>
    <w:basedOn w:val="DefaultParagraphFont"/>
    <w:link w:val="CommentText"/>
    <w:uiPriority w:val="99"/>
    <w:semiHidden/>
    <w:rsid w:val="009B2BDE"/>
    <w:rPr>
      <w:sz w:val="20"/>
      <w:szCs w:val="20"/>
    </w:rPr>
  </w:style>
  <w:style w:type="paragraph" w:styleId="CommentSubject">
    <w:name w:val="annotation subject"/>
    <w:basedOn w:val="CommentText"/>
    <w:next w:val="CommentText"/>
    <w:link w:val="CommentSubjectChar"/>
    <w:uiPriority w:val="99"/>
    <w:semiHidden/>
    <w:unhideWhenUsed/>
    <w:rsid w:val="009B2BDE"/>
    <w:rPr>
      <w:b/>
      <w:bCs/>
    </w:rPr>
  </w:style>
  <w:style w:type="character" w:customStyle="1" w:styleId="CommentSubjectChar">
    <w:name w:val="Comment Subject Char"/>
    <w:basedOn w:val="CommentTextChar"/>
    <w:link w:val="CommentSubject"/>
    <w:uiPriority w:val="99"/>
    <w:semiHidden/>
    <w:rsid w:val="009B2BDE"/>
    <w:rPr>
      <w:b/>
      <w:bCs/>
      <w:sz w:val="20"/>
      <w:szCs w:val="20"/>
    </w:rPr>
  </w:style>
  <w:style w:type="character" w:styleId="FollowedHyperlink">
    <w:name w:val="FollowedHyperlink"/>
    <w:basedOn w:val="DefaultParagraphFont"/>
    <w:rsid w:val="009A4275"/>
    <w:rPr>
      <w:color w:val="954F72" w:themeColor="followedHyperlink"/>
      <w:u w:val="single"/>
    </w:rPr>
  </w:style>
  <w:style w:type="paragraph" w:styleId="NormalWeb">
    <w:name w:val="Normal (Web)"/>
    <w:basedOn w:val="Normal"/>
    <w:uiPriority w:val="99"/>
    <w:rsid w:val="003103C3"/>
    <w:pPr>
      <w:spacing w:beforeLines="1" w:afterLines="1" w:line="240" w:lineRule="auto"/>
    </w:pPr>
    <w:rPr>
      <w:rFonts w:ascii="Times" w:hAnsi="Times" w:cs="Times New Roman"/>
      <w:sz w:val="20"/>
      <w:szCs w:val="20"/>
    </w:rPr>
  </w:style>
  <w:style w:type="paragraph" w:styleId="FootnoteText">
    <w:name w:val="footnote text"/>
    <w:basedOn w:val="Normal"/>
    <w:link w:val="FootnoteTextChar"/>
    <w:uiPriority w:val="99"/>
    <w:semiHidden/>
    <w:unhideWhenUsed/>
    <w:rsid w:val="00C9619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9619A"/>
    <w:rPr>
      <w:sz w:val="20"/>
      <w:szCs w:val="20"/>
      <w:lang w:val="en-GB"/>
    </w:rPr>
  </w:style>
  <w:style w:type="character" w:styleId="FootnoteReference">
    <w:name w:val="footnote reference"/>
    <w:basedOn w:val="DefaultParagraphFont"/>
    <w:uiPriority w:val="99"/>
    <w:unhideWhenUsed/>
    <w:rsid w:val="00C9619A"/>
    <w:rPr>
      <w:vertAlign w:val="superscript"/>
    </w:rPr>
  </w:style>
  <w:style w:type="table" w:styleId="TableGrid">
    <w:name w:val="Table Grid"/>
    <w:basedOn w:val="TableNormal"/>
    <w:rsid w:val="00FE2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28484">
      <w:bodyDiv w:val="1"/>
      <w:marLeft w:val="0"/>
      <w:marRight w:val="0"/>
      <w:marTop w:val="0"/>
      <w:marBottom w:val="0"/>
      <w:divBdr>
        <w:top w:val="none" w:sz="0" w:space="0" w:color="auto"/>
        <w:left w:val="none" w:sz="0" w:space="0" w:color="auto"/>
        <w:bottom w:val="none" w:sz="0" w:space="0" w:color="auto"/>
        <w:right w:val="none" w:sz="0" w:space="0" w:color="auto"/>
      </w:divBdr>
    </w:div>
    <w:div w:id="91125938">
      <w:bodyDiv w:val="1"/>
      <w:marLeft w:val="0"/>
      <w:marRight w:val="0"/>
      <w:marTop w:val="0"/>
      <w:marBottom w:val="0"/>
      <w:divBdr>
        <w:top w:val="none" w:sz="0" w:space="0" w:color="auto"/>
        <w:left w:val="none" w:sz="0" w:space="0" w:color="auto"/>
        <w:bottom w:val="none" w:sz="0" w:space="0" w:color="auto"/>
        <w:right w:val="none" w:sz="0" w:space="0" w:color="auto"/>
      </w:divBdr>
    </w:div>
    <w:div w:id="93480300">
      <w:bodyDiv w:val="1"/>
      <w:marLeft w:val="0"/>
      <w:marRight w:val="0"/>
      <w:marTop w:val="0"/>
      <w:marBottom w:val="0"/>
      <w:divBdr>
        <w:top w:val="none" w:sz="0" w:space="0" w:color="auto"/>
        <w:left w:val="none" w:sz="0" w:space="0" w:color="auto"/>
        <w:bottom w:val="none" w:sz="0" w:space="0" w:color="auto"/>
        <w:right w:val="none" w:sz="0" w:space="0" w:color="auto"/>
      </w:divBdr>
    </w:div>
    <w:div w:id="129522255">
      <w:bodyDiv w:val="1"/>
      <w:marLeft w:val="0"/>
      <w:marRight w:val="0"/>
      <w:marTop w:val="0"/>
      <w:marBottom w:val="0"/>
      <w:divBdr>
        <w:top w:val="none" w:sz="0" w:space="0" w:color="auto"/>
        <w:left w:val="none" w:sz="0" w:space="0" w:color="auto"/>
        <w:bottom w:val="none" w:sz="0" w:space="0" w:color="auto"/>
        <w:right w:val="none" w:sz="0" w:space="0" w:color="auto"/>
      </w:divBdr>
    </w:div>
    <w:div w:id="217135712">
      <w:bodyDiv w:val="1"/>
      <w:marLeft w:val="0"/>
      <w:marRight w:val="0"/>
      <w:marTop w:val="0"/>
      <w:marBottom w:val="0"/>
      <w:divBdr>
        <w:top w:val="none" w:sz="0" w:space="0" w:color="auto"/>
        <w:left w:val="none" w:sz="0" w:space="0" w:color="auto"/>
        <w:bottom w:val="none" w:sz="0" w:space="0" w:color="auto"/>
        <w:right w:val="none" w:sz="0" w:space="0" w:color="auto"/>
      </w:divBdr>
    </w:div>
    <w:div w:id="233972159">
      <w:bodyDiv w:val="1"/>
      <w:marLeft w:val="0"/>
      <w:marRight w:val="0"/>
      <w:marTop w:val="0"/>
      <w:marBottom w:val="0"/>
      <w:divBdr>
        <w:top w:val="none" w:sz="0" w:space="0" w:color="auto"/>
        <w:left w:val="none" w:sz="0" w:space="0" w:color="auto"/>
        <w:bottom w:val="none" w:sz="0" w:space="0" w:color="auto"/>
        <w:right w:val="none" w:sz="0" w:space="0" w:color="auto"/>
      </w:divBdr>
    </w:div>
    <w:div w:id="259221700">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326399851">
      <w:bodyDiv w:val="1"/>
      <w:marLeft w:val="0"/>
      <w:marRight w:val="0"/>
      <w:marTop w:val="0"/>
      <w:marBottom w:val="0"/>
      <w:divBdr>
        <w:top w:val="none" w:sz="0" w:space="0" w:color="auto"/>
        <w:left w:val="none" w:sz="0" w:space="0" w:color="auto"/>
        <w:bottom w:val="none" w:sz="0" w:space="0" w:color="auto"/>
        <w:right w:val="none" w:sz="0" w:space="0" w:color="auto"/>
      </w:divBdr>
    </w:div>
    <w:div w:id="396318152">
      <w:bodyDiv w:val="1"/>
      <w:marLeft w:val="0"/>
      <w:marRight w:val="0"/>
      <w:marTop w:val="0"/>
      <w:marBottom w:val="0"/>
      <w:divBdr>
        <w:top w:val="none" w:sz="0" w:space="0" w:color="auto"/>
        <w:left w:val="none" w:sz="0" w:space="0" w:color="auto"/>
        <w:bottom w:val="none" w:sz="0" w:space="0" w:color="auto"/>
        <w:right w:val="none" w:sz="0" w:space="0" w:color="auto"/>
      </w:divBdr>
    </w:div>
    <w:div w:id="442113184">
      <w:bodyDiv w:val="1"/>
      <w:marLeft w:val="0"/>
      <w:marRight w:val="0"/>
      <w:marTop w:val="0"/>
      <w:marBottom w:val="0"/>
      <w:divBdr>
        <w:top w:val="none" w:sz="0" w:space="0" w:color="auto"/>
        <w:left w:val="none" w:sz="0" w:space="0" w:color="auto"/>
        <w:bottom w:val="none" w:sz="0" w:space="0" w:color="auto"/>
        <w:right w:val="none" w:sz="0" w:space="0" w:color="auto"/>
      </w:divBdr>
    </w:div>
    <w:div w:id="454956443">
      <w:bodyDiv w:val="1"/>
      <w:marLeft w:val="0"/>
      <w:marRight w:val="0"/>
      <w:marTop w:val="0"/>
      <w:marBottom w:val="0"/>
      <w:divBdr>
        <w:top w:val="none" w:sz="0" w:space="0" w:color="auto"/>
        <w:left w:val="none" w:sz="0" w:space="0" w:color="auto"/>
        <w:bottom w:val="none" w:sz="0" w:space="0" w:color="auto"/>
        <w:right w:val="none" w:sz="0" w:space="0" w:color="auto"/>
      </w:divBdr>
    </w:div>
    <w:div w:id="495268793">
      <w:bodyDiv w:val="1"/>
      <w:marLeft w:val="0"/>
      <w:marRight w:val="0"/>
      <w:marTop w:val="0"/>
      <w:marBottom w:val="0"/>
      <w:divBdr>
        <w:top w:val="none" w:sz="0" w:space="0" w:color="auto"/>
        <w:left w:val="none" w:sz="0" w:space="0" w:color="auto"/>
        <w:bottom w:val="none" w:sz="0" w:space="0" w:color="auto"/>
        <w:right w:val="none" w:sz="0" w:space="0" w:color="auto"/>
      </w:divBdr>
    </w:div>
    <w:div w:id="593124770">
      <w:bodyDiv w:val="1"/>
      <w:marLeft w:val="0"/>
      <w:marRight w:val="0"/>
      <w:marTop w:val="0"/>
      <w:marBottom w:val="0"/>
      <w:divBdr>
        <w:top w:val="none" w:sz="0" w:space="0" w:color="auto"/>
        <w:left w:val="none" w:sz="0" w:space="0" w:color="auto"/>
        <w:bottom w:val="none" w:sz="0" w:space="0" w:color="auto"/>
        <w:right w:val="none" w:sz="0" w:space="0" w:color="auto"/>
      </w:divBdr>
    </w:div>
    <w:div w:id="616568311">
      <w:bodyDiv w:val="1"/>
      <w:marLeft w:val="0"/>
      <w:marRight w:val="0"/>
      <w:marTop w:val="0"/>
      <w:marBottom w:val="0"/>
      <w:divBdr>
        <w:top w:val="none" w:sz="0" w:space="0" w:color="auto"/>
        <w:left w:val="none" w:sz="0" w:space="0" w:color="auto"/>
        <w:bottom w:val="none" w:sz="0" w:space="0" w:color="auto"/>
        <w:right w:val="none" w:sz="0" w:space="0" w:color="auto"/>
      </w:divBdr>
      <w:divsChild>
        <w:div w:id="637993485">
          <w:marLeft w:val="0"/>
          <w:marRight w:val="0"/>
          <w:marTop w:val="0"/>
          <w:marBottom w:val="0"/>
          <w:divBdr>
            <w:top w:val="none" w:sz="0" w:space="0" w:color="auto"/>
            <w:left w:val="none" w:sz="0" w:space="0" w:color="auto"/>
            <w:bottom w:val="none" w:sz="0" w:space="0" w:color="auto"/>
            <w:right w:val="none" w:sz="0" w:space="0" w:color="auto"/>
          </w:divBdr>
          <w:divsChild>
            <w:div w:id="1143737896">
              <w:marLeft w:val="0"/>
              <w:marRight w:val="0"/>
              <w:marTop w:val="0"/>
              <w:marBottom w:val="0"/>
              <w:divBdr>
                <w:top w:val="none" w:sz="0" w:space="0" w:color="auto"/>
                <w:left w:val="none" w:sz="0" w:space="0" w:color="auto"/>
                <w:bottom w:val="none" w:sz="0" w:space="0" w:color="auto"/>
                <w:right w:val="none" w:sz="0" w:space="0" w:color="auto"/>
              </w:divBdr>
              <w:divsChild>
                <w:div w:id="11827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3369">
      <w:bodyDiv w:val="1"/>
      <w:marLeft w:val="0"/>
      <w:marRight w:val="0"/>
      <w:marTop w:val="0"/>
      <w:marBottom w:val="0"/>
      <w:divBdr>
        <w:top w:val="none" w:sz="0" w:space="0" w:color="auto"/>
        <w:left w:val="none" w:sz="0" w:space="0" w:color="auto"/>
        <w:bottom w:val="none" w:sz="0" w:space="0" w:color="auto"/>
        <w:right w:val="none" w:sz="0" w:space="0" w:color="auto"/>
      </w:divBdr>
    </w:div>
    <w:div w:id="648755861">
      <w:bodyDiv w:val="1"/>
      <w:marLeft w:val="0"/>
      <w:marRight w:val="0"/>
      <w:marTop w:val="0"/>
      <w:marBottom w:val="0"/>
      <w:divBdr>
        <w:top w:val="none" w:sz="0" w:space="0" w:color="auto"/>
        <w:left w:val="none" w:sz="0" w:space="0" w:color="auto"/>
        <w:bottom w:val="none" w:sz="0" w:space="0" w:color="auto"/>
        <w:right w:val="none" w:sz="0" w:space="0" w:color="auto"/>
      </w:divBdr>
    </w:div>
    <w:div w:id="699626575">
      <w:bodyDiv w:val="1"/>
      <w:marLeft w:val="0"/>
      <w:marRight w:val="0"/>
      <w:marTop w:val="0"/>
      <w:marBottom w:val="0"/>
      <w:divBdr>
        <w:top w:val="none" w:sz="0" w:space="0" w:color="auto"/>
        <w:left w:val="none" w:sz="0" w:space="0" w:color="auto"/>
        <w:bottom w:val="none" w:sz="0" w:space="0" w:color="auto"/>
        <w:right w:val="none" w:sz="0" w:space="0" w:color="auto"/>
      </w:divBdr>
    </w:div>
    <w:div w:id="701713231">
      <w:bodyDiv w:val="1"/>
      <w:marLeft w:val="0"/>
      <w:marRight w:val="0"/>
      <w:marTop w:val="0"/>
      <w:marBottom w:val="0"/>
      <w:divBdr>
        <w:top w:val="none" w:sz="0" w:space="0" w:color="auto"/>
        <w:left w:val="none" w:sz="0" w:space="0" w:color="auto"/>
        <w:bottom w:val="none" w:sz="0" w:space="0" w:color="auto"/>
        <w:right w:val="none" w:sz="0" w:space="0" w:color="auto"/>
      </w:divBdr>
    </w:div>
    <w:div w:id="812211219">
      <w:bodyDiv w:val="1"/>
      <w:marLeft w:val="0"/>
      <w:marRight w:val="0"/>
      <w:marTop w:val="0"/>
      <w:marBottom w:val="0"/>
      <w:divBdr>
        <w:top w:val="none" w:sz="0" w:space="0" w:color="auto"/>
        <w:left w:val="none" w:sz="0" w:space="0" w:color="auto"/>
        <w:bottom w:val="none" w:sz="0" w:space="0" w:color="auto"/>
        <w:right w:val="none" w:sz="0" w:space="0" w:color="auto"/>
      </w:divBdr>
    </w:div>
    <w:div w:id="830755882">
      <w:bodyDiv w:val="1"/>
      <w:marLeft w:val="0"/>
      <w:marRight w:val="0"/>
      <w:marTop w:val="0"/>
      <w:marBottom w:val="0"/>
      <w:divBdr>
        <w:top w:val="none" w:sz="0" w:space="0" w:color="auto"/>
        <w:left w:val="none" w:sz="0" w:space="0" w:color="auto"/>
        <w:bottom w:val="none" w:sz="0" w:space="0" w:color="auto"/>
        <w:right w:val="none" w:sz="0" w:space="0" w:color="auto"/>
      </w:divBdr>
    </w:div>
    <w:div w:id="895311507">
      <w:bodyDiv w:val="1"/>
      <w:marLeft w:val="0"/>
      <w:marRight w:val="0"/>
      <w:marTop w:val="0"/>
      <w:marBottom w:val="0"/>
      <w:divBdr>
        <w:top w:val="none" w:sz="0" w:space="0" w:color="auto"/>
        <w:left w:val="none" w:sz="0" w:space="0" w:color="auto"/>
        <w:bottom w:val="none" w:sz="0" w:space="0" w:color="auto"/>
        <w:right w:val="none" w:sz="0" w:space="0" w:color="auto"/>
      </w:divBdr>
    </w:div>
    <w:div w:id="948511308">
      <w:bodyDiv w:val="1"/>
      <w:marLeft w:val="0"/>
      <w:marRight w:val="0"/>
      <w:marTop w:val="0"/>
      <w:marBottom w:val="0"/>
      <w:divBdr>
        <w:top w:val="none" w:sz="0" w:space="0" w:color="auto"/>
        <w:left w:val="none" w:sz="0" w:space="0" w:color="auto"/>
        <w:bottom w:val="none" w:sz="0" w:space="0" w:color="auto"/>
        <w:right w:val="none" w:sz="0" w:space="0" w:color="auto"/>
      </w:divBdr>
    </w:div>
    <w:div w:id="1078593172">
      <w:bodyDiv w:val="1"/>
      <w:marLeft w:val="0"/>
      <w:marRight w:val="0"/>
      <w:marTop w:val="0"/>
      <w:marBottom w:val="0"/>
      <w:divBdr>
        <w:top w:val="none" w:sz="0" w:space="0" w:color="auto"/>
        <w:left w:val="none" w:sz="0" w:space="0" w:color="auto"/>
        <w:bottom w:val="none" w:sz="0" w:space="0" w:color="auto"/>
        <w:right w:val="none" w:sz="0" w:space="0" w:color="auto"/>
      </w:divBdr>
    </w:div>
    <w:div w:id="1130588754">
      <w:bodyDiv w:val="1"/>
      <w:marLeft w:val="0"/>
      <w:marRight w:val="0"/>
      <w:marTop w:val="0"/>
      <w:marBottom w:val="0"/>
      <w:divBdr>
        <w:top w:val="none" w:sz="0" w:space="0" w:color="auto"/>
        <w:left w:val="none" w:sz="0" w:space="0" w:color="auto"/>
        <w:bottom w:val="none" w:sz="0" w:space="0" w:color="auto"/>
        <w:right w:val="none" w:sz="0" w:space="0" w:color="auto"/>
      </w:divBdr>
    </w:div>
    <w:div w:id="1267498243">
      <w:bodyDiv w:val="1"/>
      <w:marLeft w:val="0"/>
      <w:marRight w:val="0"/>
      <w:marTop w:val="0"/>
      <w:marBottom w:val="0"/>
      <w:divBdr>
        <w:top w:val="none" w:sz="0" w:space="0" w:color="auto"/>
        <w:left w:val="none" w:sz="0" w:space="0" w:color="auto"/>
        <w:bottom w:val="none" w:sz="0" w:space="0" w:color="auto"/>
        <w:right w:val="none" w:sz="0" w:space="0" w:color="auto"/>
      </w:divBdr>
    </w:div>
    <w:div w:id="1291594881">
      <w:bodyDiv w:val="1"/>
      <w:marLeft w:val="0"/>
      <w:marRight w:val="0"/>
      <w:marTop w:val="0"/>
      <w:marBottom w:val="0"/>
      <w:divBdr>
        <w:top w:val="none" w:sz="0" w:space="0" w:color="auto"/>
        <w:left w:val="none" w:sz="0" w:space="0" w:color="auto"/>
        <w:bottom w:val="none" w:sz="0" w:space="0" w:color="auto"/>
        <w:right w:val="none" w:sz="0" w:space="0" w:color="auto"/>
      </w:divBdr>
    </w:div>
    <w:div w:id="1333679437">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2746803">
      <w:bodyDiv w:val="1"/>
      <w:marLeft w:val="0"/>
      <w:marRight w:val="0"/>
      <w:marTop w:val="0"/>
      <w:marBottom w:val="0"/>
      <w:divBdr>
        <w:top w:val="none" w:sz="0" w:space="0" w:color="auto"/>
        <w:left w:val="none" w:sz="0" w:space="0" w:color="auto"/>
        <w:bottom w:val="none" w:sz="0" w:space="0" w:color="auto"/>
        <w:right w:val="none" w:sz="0" w:space="0" w:color="auto"/>
      </w:divBdr>
    </w:div>
    <w:div w:id="1424494809">
      <w:bodyDiv w:val="1"/>
      <w:marLeft w:val="0"/>
      <w:marRight w:val="0"/>
      <w:marTop w:val="0"/>
      <w:marBottom w:val="0"/>
      <w:divBdr>
        <w:top w:val="none" w:sz="0" w:space="0" w:color="auto"/>
        <w:left w:val="none" w:sz="0" w:space="0" w:color="auto"/>
        <w:bottom w:val="none" w:sz="0" w:space="0" w:color="auto"/>
        <w:right w:val="none" w:sz="0" w:space="0" w:color="auto"/>
      </w:divBdr>
    </w:div>
    <w:div w:id="1456676172">
      <w:bodyDiv w:val="1"/>
      <w:marLeft w:val="0"/>
      <w:marRight w:val="0"/>
      <w:marTop w:val="0"/>
      <w:marBottom w:val="0"/>
      <w:divBdr>
        <w:top w:val="none" w:sz="0" w:space="0" w:color="auto"/>
        <w:left w:val="none" w:sz="0" w:space="0" w:color="auto"/>
        <w:bottom w:val="none" w:sz="0" w:space="0" w:color="auto"/>
        <w:right w:val="none" w:sz="0" w:space="0" w:color="auto"/>
      </w:divBdr>
    </w:div>
    <w:div w:id="1475635243">
      <w:bodyDiv w:val="1"/>
      <w:marLeft w:val="0"/>
      <w:marRight w:val="0"/>
      <w:marTop w:val="0"/>
      <w:marBottom w:val="0"/>
      <w:divBdr>
        <w:top w:val="none" w:sz="0" w:space="0" w:color="auto"/>
        <w:left w:val="none" w:sz="0" w:space="0" w:color="auto"/>
        <w:bottom w:val="none" w:sz="0" w:space="0" w:color="auto"/>
        <w:right w:val="none" w:sz="0" w:space="0" w:color="auto"/>
      </w:divBdr>
    </w:div>
    <w:div w:id="1489787378">
      <w:bodyDiv w:val="1"/>
      <w:marLeft w:val="0"/>
      <w:marRight w:val="0"/>
      <w:marTop w:val="0"/>
      <w:marBottom w:val="0"/>
      <w:divBdr>
        <w:top w:val="none" w:sz="0" w:space="0" w:color="auto"/>
        <w:left w:val="none" w:sz="0" w:space="0" w:color="auto"/>
        <w:bottom w:val="none" w:sz="0" w:space="0" w:color="auto"/>
        <w:right w:val="none" w:sz="0" w:space="0" w:color="auto"/>
      </w:divBdr>
    </w:div>
    <w:div w:id="1491411238">
      <w:bodyDiv w:val="1"/>
      <w:marLeft w:val="0"/>
      <w:marRight w:val="0"/>
      <w:marTop w:val="0"/>
      <w:marBottom w:val="0"/>
      <w:divBdr>
        <w:top w:val="none" w:sz="0" w:space="0" w:color="auto"/>
        <w:left w:val="none" w:sz="0" w:space="0" w:color="auto"/>
        <w:bottom w:val="none" w:sz="0" w:space="0" w:color="auto"/>
        <w:right w:val="none" w:sz="0" w:space="0" w:color="auto"/>
      </w:divBdr>
    </w:div>
    <w:div w:id="1524393386">
      <w:bodyDiv w:val="1"/>
      <w:marLeft w:val="0"/>
      <w:marRight w:val="0"/>
      <w:marTop w:val="0"/>
      <w:marBottom w:val="0"/>
      <w:divBdr>
        <w:top w:val="none" w:sz="0" w:space="0" w:color="auto"/>
        <w:left w:val="none" w:sz="0" w:space="0" w:color="auto"/>
        <w:bottom w:val="none" w:sz="0" w:space="0" w:color="auto"/>
        <w:right w:val="none" w:sz="0" w:space="0" w:color="auto"/>
      </w:divBdr>
    </w:div>
    <w:div w:id="1558474473">
      <w:bodyDiv w:val="1"/>
      <w:marLeft w:val="0"/>
      <w:marRight w:val="0"/>
      <w:marTop w:val="0"/>
      <w:marBottom w:val="0"/>
      <w:divBdr>
        <w:top w:val="none" w:sz="0" w:space="0" w:color="auto"/>
        <w:left w:val="none" w:sz="0" w:space="0" w:color="auto"/>
        <w:bottom w:val="none" w:sz="0" w:space="0" w:color="auto"/>
        <w:right w:val="none" w:sz="0" w:space="0" w:color="auto"/>
      </w:divBdr>
    </w:div>
    <w:div w:id="1568295391">
      <w:bodyDiv w:val="1"/>
      <w:marLeft w:val="0"/>
      <w:marRight w:val="0"/>
      <w:marTop w:val="0"/>
      <w:marBottom w:val="0"/>
      <w:divBdr>
        <w:top w:val="none" w:sz="0" w:space="0" w:color="auto"/>
        <w:left w:val="none" w:sz="0" w:space="0" w:color="auto"/>
        <w:bottom w:val="none" w:sz="0" w:space="0" w:color="auto"/>
        <w:right w:val="none" w:sz="0" w:space="0" w:color="auto"/>
      </w:divBdr>
    </w:div>
    <w:div w:id="1686785301">
      <w:bodyDiv w:val="1"/>
      <w:marLeft w:val="0"/>
      <w:marRight w:val="0"/>
      <w:marTop w:val="0"/>
      <w:marBottom w:val="0"/>
      <w:divBdr>
        <w:top w:val="none" w:sz="0" w:space="0" w:color="auto"/>
        <w:left w:val="none" w:sz="0" w:space="0" w:color="auto"/>
        <w:bottom w:val="none" w:sz="0" w:space="0" w:color="auto"/>
        <w:right w:val="none" w:sz="0" w:space="0" w:color="auto"/>
      </w:divBdr>
    </w:div>
    <w:div w:id="1747604103">
      <w:bodyDiv w:val="1"/>
      <w:marLeft w:val="0"/>
      <w:marRight w:val="0"/>
      <w:marTop w:val="0"/>
      <w:marBottom w:val="0"/>
      <w:divBdr>
        <w:top w:val="none" w:sz="0" w:space="0" w:color="auto"/>
        <w:left w:val="none" w:sz="0" w:space="0" w:color="auto"/>
        <w:bottom w:val="none" w:sz="0" w:space="0" w:color="auto"/>
        <w:right w:val="none" w:sz="0" w:space="0" w:color="auto"/>
      </w:divBdr>
    </w:div>
    <w:div w:id="1761415151">
      <w:bodyDiv w:val="1"/>
      <w:marLeft w:val="0"/>
      <w:marRight w:val="0"/>
      <w:marTop w:val="0"/>
      <w:marBottom w:val="0"/>
      <w:divBdr>
        <w:top w:val="none" w:sz="0" w:space="0" w:color="auto"/>
        <w:left w:val="none" w:sz="0" w:space="0" w:color="auto"/>
        <w:bottom w:val="none" w:sz="0" w:space="0" w:color="auto"/>
        <w:right w:val="none" w:sz="0" w:space="0" w:color="auto"/>
      </w:divBdr>
    </w:div>
    <w:div w:id="1773940843">
      <w:bodyDiv w:val="1"/>
      <w:marLeft w:val="0"/>
      <w:marRight w:val="0"/>
      <w:marTop w:val="0"/>
      <w:marBottom w:val="0"/>
      <w:divBdr>
        <w:top w:val="none" w:sz="0" w:space="0" w:color="auto"/>
        <w:left w:val="none" w:sz="0" w:space="0" w:color="auto"/>
        <w:bottom w:val="none" w:sz="0" w:space="0" w:color="auto"/>
        <w:right w:val="none" w:sz="0" w:space="0" w:color="auto"/>
      </w:divBdr>
    </w:div>
    <w:div w:id="1792743479">
      <w:bodyDiv w:val="1"/>
      <w:marLeft w:val="0"/>
      <w:marRight w:val="0"/>
      <w:marTop w:val="0"/>
      <w:marBottom w:val="0"/>
      <w:divBdr>
        <w:top w:val="none" w:sz="0" w:space="0" w:color="auto"/>
        <w:left w:val="none" w:sz="0" w:space="0" w:color="auto"/>
        <w:bottom w:val="none" w:sz="0" w:space="0" w:color="auto"/>
        <w:right w:val="none" w:sz="0" w:space="0" w:color="auto"/>
      </w:divBdr>
    </w:div>
    <w:div w:id="1861816810">
      <w:bodyDiv w:val="1"/>
      <w:marLeft w:val="0"/>
      <w:marRight w:val="0"/>
      <w:marTop w:val="0"/>
      <w:marBottom w:val="0"/>
      <w:divBdr>
        <w:top w:val="none" w:sz="0" w:space="0" w:color="auto"/>
        <w:left w:val="none" w:sz="0" w:space="0" w:color="auto"/>
        <w:bottom w:val="none" w:sz="0" w:space="0" w:color="auto"/>
        <w:right w:val="none" w:sz="0" w:space="0" w:color="auto"/>
      </w:divBdr>
    </w:div>
    <w:div w:id="1888758671">
      <w:bodyDiv w:val="1"/>
      <w:marLeft w:val="0"/>
      <w:marRight w:val="0"/>
      <w:marTop w:val="0"/>
      <w:marBottom w:val="0"/>
      <w:divBdr>
        <w:top w:val="none" w:sz="0" w:space="0" w:color="auto"/>
        <w:left w:val="none" w:sz="0" w:space="0" w:color="auto"/>
        <w:bottom w:val="none" w:sz="0" w:space="0" w:color="auto"/>
        <w:right w:val="none" w:sz="0" w:space="0" w:color="auto"/>
      </w:divBdr>
    </w:div>
    <w:div w:id="1891651281">
      <w:bodyDiv w:val="1"/>
      <w:marLeft w:val="0"/>
      <w:marRight w:val="0"/>
      <w:marTop w:val="0"/>
      <w:marBottom w:val="0"/>
      <w:divBdr>
        <w:top w:val="none" w:sz="0" w:space="0" w:color="auto"/>
        <w:left w:val="none" w:sz="0" w:space="0" w:color="auto"/>
        <w:bottom w:val="none" w:sz="0" w:space="0" w:color="auto"/>
        <w:right w:val="none" w:sz="0" w:space="0" w:color="auto"/>
      </w:divBdr>
    </w:div>
    <w:div w:id="1914269549">
      <w:bodyDiv w:val="1"/>
      <w:marLeft w:val="0"/>
      <w:marRight w:val="0"/>
      <w:marTop w:val="0"/>
      <w:marBottom w:val="0"/>
      <w:divBdr>
        <w:top w:val="none" w:sz="0" w:space="0" w:color="auto"/>
        <w:left w:val="none" w:sz="0" w:space="0" w:color="auto"/>
        <w:bottom w:val="none" w:sz="0" w:space="0" w:color="auto"/>
        <w:right w:val="none" w:sz="0" w:space="0" w:color="auto"/>
      </w:divBdr>
    </w:div>
    <w:div w:id="1935672139">
      <w:bodyDiv w:val="1"/>
      <w:marLeft w:val="0"/>
      <w:marRight w:val="0"/>
      <w:marTop w:val="0"/>
      <w:marBottom w:val="0"/>
      <w:divBdr>
        <w:top w:val="none" w:sz="0" w:space="0" w:color="auto"/>
        <w:left w:val="none" w:sz="0" w:space="0" w:color="auto"/>
        <w:bottom w:val="none" w:sz="0" w:space="0" w:color="auto"/>
        <w:right w:val="none" w:sz="0" w:space="0" w:color="auto"/>
      </w:divBdr>
    </w:div>
    <w:div w:id="1979652015">
      <w:bodyDiv w:val="1"/>
      <w:marLeft w:val="0"/>
      <w:marRight w:val="0"/>
      <w:marTop w:val="0"/>
      <w:marBottom w:val="0"/>
      <w:divBdr>
        <w:top w:val="none" w:sz="0" w:space="0" w:color="auto"/>
        <w:left w:val="none" w:sz="0" w:space="0" w:color="auto"/>
        <w:bottom w:val="none" w:sz="0" w:space="0" w:color="auto"/>
        <w:right w:val="none" w:sz="0" w:space="0" w:color="auto"/>
      </w:divBdr>
    </w:div>
    <w:div w:id="1984503239">
      <w:bodyDiv w:val="1"/>
      <w:marLeft w:val="0"/>
      <w:marRight w:val="0"/>
      <w:marTop w:val="0"/>
      <w:marBottom w:val="0"/>
      <w:divBdr>
        <w:top w:val="none" w:sz="0" w:space="0" w:color="auto"/>
        <w:left w:val="none" w:sz="0" w:space="0" w:color="auto"/>
        <w:bottom w:val="none" w:sz="0" w:space="0" w:color="auto"/>
        <w:right w:val="none" w:sz="0" w:space="0" w:color="auto"/>
      </w:divBdr>
    </w:div>
    <w:div w:id="2058696056">
      <w:bodyDiv w:val="1"/>
      <w:marLeft w:val="0"/>
      <w:marRight w:val="0"/>
      <w:marTop w:val="0"/>
      <w:marBottom w:val="0"/>
      <w:divBdr>
        <w:top w:val="none" w:sz="0" w:space="0" w:color="auto"/>
        <w:left w:val="none" w:sz="0" w:space="0" w:color="auto"/>
        <w:bottom w:val="none" w:sz="0" w:space="0" w:color="auto"/>
        <w:right w:val="none" w:sz="0" w:space="0" w:color="auto"/>
      </w:divBdr>
    </w:div>
    <w:div w:id="2076663363">
      <w:bodyDiv w:val="1"/>
      <w:marLeft w:val="0"/>
      <w:marRight w:val="0"/>
      <w:marTop w:val="0"/>
      <w:marBottom w:val="0"/>
      <w:divBdr>
        <w:top w:val="none" w:sz="0" w:space="0" w:color="auto"/>
        <w:left w:val="none" w:sz="0" w:space="0" w:color="auto"/>
        <w:bottom w:val="none" w:sz="0" w:space="0" w:color="auto"/>
        <w:right w:val="none" w:sz="0" w:space="0" w:color="auto"/>
      </w:divBdr>
    </w:div>
    <w:div w:id="2093966695">
      <w:bodyDiv w:val="1"/>
      <w:marLeft w:val="0"/>
      <w:marRight w:val="0"/>
      <w:marTop w:val="0"/>
      <w:marBottom w:val="0"/>
      <w:divBdr>
        <w:top w:val="none" w:sz="0" w:space="0" w:color="auto"/>
        <w:left w:val="none" w:sz="0" w:space="0" w:color="auto"/>
        <w:bottom w:val="none" w:sz="0" w:space="0" w:color="auto"/>
        <w:right w:val="none" w:sz="0" w:space="0" w:color="auto"/>
      </w:divBdr>
    </w:div>
    <w:div w:id="211859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odproject.ne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llectif-scientifique-gaz-de-schiste.com/fr/accueil/images/pdf/texteschoisis/McGlade_et_al-2015-Nature.pdf" TargetMode="External"/><Relationship Id="rId9" Type="http://schemas.openxmlformats.org/officeDocument/2006/relationships/hyperlink" Target="mailto:david.mason@greenhousepr.co.uk" TargetMode="External"/><Relationship Id="rId10" Type="http://schemas.openxmlformats.org/officeDocument/2006/relationships/hyperlink" Target="mailto:bethan.halls@greenhousepr.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t.com/cms/s/0/622de3da-66e6-11e5-97d0-1456a776a4f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E75C-A3D4-4CDB-9EAF-4D9EEA7B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1894</Words>
  <Characters>10796</Characters>
  <Application>Microsoft Word 12.0.0</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poulter</dc:creator>
  <cp:keywords/>
  <dc:description/>
  <cp:lastModifiedBy>Hamish Stewart</cp:lastModifiedBy>
  <cp:revision>3</cp:revision>
  <cp:lastPrinted>2016-04-25T12:45:00Z</cp:lastPrinted>
  <dcterms:created xsi:type="dcterms:W3CDTF">2016-05-01T10:24:00Z</dcterms:created>
  <dcterms:modified xsi:type="dcterms:W3CDTF">2016-05-02T15:41:00Z</dcterms:modified>
</cp:coreProperties>
</file>